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AA14" w14:textId="0BF6E57A" w:rsidR="00101BD7" w:rsidRPr="00101BD7" w:rsidRDefault="00101BD7" w:rsidP="00101BD7">
      <w:pPr>
        <w:spacing w:after="0"/>
        <w:jc w:val="center"/>
        <w:rPr>
          <w:b/>
          <w:sz w:val="28"/>
          <w:szCs w:val="28"/>
        </w:rPr>
      </w:pPr>
      <w:r w:rsidRPr="00101BD7">
        <w:rPr>
          <w:b/>
          <w:sz w:val="28"/>
          <w:szCs w:val="28"/>
        </w:rPr>
        <w:t>Documentation Requirements for SMHS, DMC and DMC-ODS</w:t>
      </w:r>
      <w:r w:rsidR="00B51585">
        <w:rPr>
          <w:b/>
          <w:sz w:val="28"/>
          <w:szCs w:val="28"/>
        </w:rPr>
        <w:t xml:space="preserve">, </w:t>
      </w:r>
      <w:r w:rsidR="00695F34">
        <w:rPr>
          <w:b/>
          <w:sz w:val="28"/>
          <w:szCs w:val="28"/>
        </w:rPr>
        <w:t>Non-Hospital Services</w:t>
      </w:r>
    </w:p>
    <w:p w14:paraId="59F94EFC" w14:textId="19CE34A1" w:rsidR="00101BD7" w:rsidRDefault="00101BD7" w:rsidP="00101BD7">
      <w:pPr>
        <w:spacing w:after="0"/>
        <w:jc w:val="center"/>
        <w:rPr>
          <w:b/>
          <w:sz w:val="28"/>
          <w:szCs w:val="28"/>
        </w:rPr>
      </w:pPr>
      <w:r w:rsidRPr="00101BD7">
        <w:rPr>
          <w:b/>
          <w:sz w:val="28"/>
          <w:szCs w:val="28"/>
        </w:rPr>
        <w:t>Effective 7/1/22</w:t>
      </w:r>
    </w:p>
    <w:p w14:paraId="055DD3C9" w14:textId="3C246DC4" w:rsidR="00101BD7" w:rsidRPr="00B51585" w:rsidRDefault="00101BD7" w:rsidP="00101BD7">
      <w:pPr>
        <w:spacing w:after="0"/>
        <w:jc w:val="center"/>
        <w:rPr>
          <w:sz w:val="24"/>
          <w:szCs w:val="24"/>
        </w:rPr>
      </w:pPr>
      <w:r w:rsidRPr="00B51585">
        <w:rPr>
          <w:b/>
          <w:sz w:val="24"/>
          <w:szCs w:val="24"/>
        </w:rPr>
        <w:t xml:space="preserve">Resource: </w:t>
      </w:r>
      <w:hyperlink r:id="rId7" w:history="1">
        <w:r w:rsidRPr="00B51585">
          <w:rPr>
            <w:rStyle w:val="Hyperlink"/>
            <w:sz w:val="24"/>
            <w:szCs w:val="24"/>
          </w:rPr>
          <w:t>BHIN 22-019 Documentation Requirements for all SMHS DMC and DMC ODS Services</w:t>
        </w:r>
      </w:hyperlink>
    </w:p>
    <w:p w14:paraId="432D1C2C" w14:textId="77777777" w:rsidR="00B51585" w:rsidRDefault="00B51585" w:rsidP="00101BD7">
      <w:pPr>
        <w:spacing w:after="0"/>
        <w:jc w:val="center"/>
        <w:rPr>
          <w:b/>
          <w:sz w:val="24"/>
          <w:szCs w:val="24"/>
        </w:rPr>
      </w:pPr>
    </w:p>
    <w:p w14:paraId="035ED5C9" w14:textId="743F8062" w:rsidR="00101BD7" w:rsidRPr="00B51585" w:rsidRDefault="00B51585" w:rsidP="00101BD7">
      <w:pPr>
        <w:spacing w:after="0"/>
        <w:jc w:val="center"/>
        <w:rPr>
          <w:i/>
          <w:sz w:val="24"/>
          <w:szCs w:val="24"/>
        </w:rPr>
      </w:pPr>
      <w:r w:rsidRPr="00B51585">
        <w:rPr>
          <w:b/>
          <w:sz w:val="24"/>
          <w:szCs w:val="24"/>
        </w:rPr>
        <w:t>Note</w:t>
      </w:r>
      <w:r w:rsidRPr="00B51585">
        <w:rPr>
          <w:sz w:val="24"/>
          <w:szCs w:val="24"/>
        </w:rPr>
        <w:t xml:space="preserve">: </w:t>
      </w:r>
      <w:r w:rsidRPr="00B51585">
        <w:rPr>
          <w:i/>
          <w:sz w:val="24"/>
          <w:szCs w:val="24"/>
        </w:rPr>
        <w:t xml:space="preserve">This </w:t>
      </w:r>
      <w:r>
        <w:rPr>
          <w:i/>
          <w:sz w:val="24"/>
          <w:szCs w:val="24"/>
        </w:rPr>
        <w:t xml:space="preserve">reference </w:t>
      </w:r>
      <w:r w:rsidRPr="00B51585">
        <w:rPr>
          <w:i/>
          <w:sz w:val="24"/>
          <w:szCs w:val="24"/>
        </w:rPr>
        <w:t xml:space="preserve">guide highlights the </w:t>
      </w:r>
      <w:r>
        <w:rPr>
          <w:i/>
          <w:sz w:val="24"/>
          <w:szCs w:val="24"/>
        </w:rPr>
        <w:t xml:space="preserve">DHCS </w:t>
      </w:r>
      <w:r w:rsidRPr="00B51585">
        <w:rPr>
          <w:i/>
          <w:sz w:val="24"/>
          <w:szCs w:val="24"/>
        </w:rPr>
        <w:t xml:space="preserve">documentation requirements exactly as </w:t>
      </w:r>
      <w:r>
        <w:rPr>
          <w:i/>
          <w:sz w:val="24"/>
          <w:szCs w:val="24"/>
        </w:rPr>
        <w:t xml:space="preserve">they are </w:t>
      </w:r>
      <w:r w:rsidRPr="00B51585">
        <w:rPr>
          <w:i/>
          <w:sz w:val="24"/>
          <w:szCs w:val="24"/>
        </w:rPr>
        <w:t xml:space="preserve">written in the Information Notice. As areas are clarified, the information will be added to training and FAQ documents.  </w:t>
      </w:r>
    </w:p>
    <w:tbl>
      <w:tblPr>
        <w:tblStyle w:val="TableGrid"/>
        <w:tblW w:w="14220" w:type="dxa"/>
        <w:tblInd w:w="-635" w:type="dxa"/>
        <w:tblLook w:val="04A0" w:firstRow="1" w:lastRow="0" w:firstColumn="1" w:lastColumn="0" w:noHBand="0" w:noVBand="1"/>
      </w:tblPr>
      <w:tblGrid>
        <w:gridCol w:w="3098"/>
        <w:gridCol w:w="5650"/>
        <w:gridCol w:w="5472"/>
      </w:tblGrid>
      <w:tr w:rsidR="00C45236" w:rsidRPr="00101BD7" w14:paraId="2823EA9F" w14:textId="77777777" w:rsidTr="00DE6F6F">
        <w:tc>
          <w:tcPr>
            <w:tcW w:w="3098" w:type="dxa"/>
            <w:shd w:val="clear" w:color="auto" w:fill="E2EFD9" w:themeFill="accent6" w:themeFillTint="33"/>
          </w:tcPr>
          <w:p w14:paraId="4BD01A18" w14:textId="5A0CB106" w:rsidR="00C45236" w:rsidRPr="00101BD7" w:rsidRDefault="009612F7" w:rsidP="002D0438">
            <w:pPr>
              <w:jc w:val="center"/>
              <w:rPr>
                <w:b/>
                <w:sz w:val="24"/>
                <w:szCs w:val="24"/>
              </w:rPr>
            </w:pPr>
            <w:bookmarkStart w:id="0" w:name="_Hlk101797842"/>
            <w:r>
              <w:rPr>
                <w:b/>
                <w:sz w:val="24"/>
                <w:szCs w:val="24"/>
              </w:rPr>
              <w:t>Section</w:t>
            </w:r>
          </w:p>
        </w:tc>
        <w:tc>
          <w:tcPr>
            <w:tcW w:w="5650" w:type="dxa"/>
            <w:shd w:val="clear" w:color="auto" w:fill="E2EFD9" w:themeFill="accent6" w:themeFillTint="33"/>
          </w:tcPr>
          <w:p w14:paraId="7B46E9B4" w14:textId="71079AF2" w:rsidR="00C45236" w:rsidRPr="00101BD7" w:rsidRDefault="00C45236" w:rsidP="002D0438">
            <w:pPr>
              <w:jc w:val="center"/>
              <w:rPr>
                <w:b/>
                <w:sz w:val="24"/>
                <w:szCs w:val="24"/>
              </w:rPr>
            </w:pPr>
            <w:r w:rsidRPr="00101BD7">
              <w:rPr>
                <w:b/>
                <w:sz w:val="24"/>
                <w:szCs w:val="24"/>
              </w:rPr>
              <w:t>SMHS</w:t>
            </w:r>
          </w:p>
        </w:tc>
        <w:tc>
          <w:tcPr>
            <w:tcW w:w="5472" w:type="dxa"/>
            <w:shd w:val="clear" w:color="auto" w:fill="E2EFD9" w:themeFill="accent6" w:themeFillTint="33"/>
          </w:tcPr>
          <w:p w14:paraId="1C278BC3" w14:textId="5168398B" w:rsidR="00C45236" w:rsidRPr="00101BD7" w:rsidRDefault="00C45236" w:rsidP="005D7293">
            <w:pPr>
              <w:jc w:val="center"/>
              <w:rPr>
                <w:b/>
                <w:sz w:val="24"/>
                <w:szCs w:val="24"/>
              </w:rPr>
            </w:pPr>
            <w:r w:rsidRPr="00101BD7">
              <w:rPr>
                <w:b/>
                <w:sz w:val="24"/>
                <w:szCs w:val="24"/>
              </w:rPr>
              <w:t>DMC-ODS</w:t>
            </w:r>
          </w:p>
          <w:p w14:paraId="6A8086D7" w14:textId="2CEC07DA" w:rsidR="00C45236" w:rsidRPr="00101BD7" w:rsidRDefault="00C45236" w:rsidP="002D0438">
            <w:pPr>
              <w:jc w:val="center"/>
              <w:rPr>
                <w:b/>
                <w:i/>
                <w:iCs/>
                <w:sz w:val="24"/>
                <w:szCs w:val="24"/>
              </w:rPr>
            </w:pPr>
          </w:p>
        </w:tc>
      </w:tr>
      <w:tr w:rsidR="00C45236" w:rsidRPr="009612F7" w14:paraId="0A0C6A1B" w14:textId="77777777" w:rsidTr="009612F7">
        <w:tc>
          <w:tcPr>
            <w:tcW w:w="14220" w:type="dxa"/>
            <w:gridSpan w:val="3"/>
            <w:shd w:val="clear" w:color="auto" w:fill="FFE599" w:themeFill="accent4" w:themeFillTint="66"/>
          </w:tcPr>
          <w:p w14:paraId="1CCD34CE" w14:textId="77777777" w:rsidR="00C45236" w:rsidRPr="009612F7" w:rsidRDefault="00C45236" w:rsidP="00C45236">
            <w:pPr>
              <w:pStyle w:val="Heading2"/>
              <w:ind w:left="0"/>
              <w:jc w:val="center"/>
              <w:outlineLvl w:val="1"/>
              <w:rPr>
                <w:rFonts w:asciiTheme="minorHAnsi" w:hAnsiTheme="minorHAnsi" w:cstheme="minorHAnsi"/>
                <w:bCs w:val="0"/>
                <w:sz w:val="28"/>
                <w:szCs w:val="28"/>
              </w:rPr>
            </w:pPr>
            <w:bookmarkStart w:id="1" w:name="_GoBack"/>
            <w:bookmarkEnd w:id="0"/>
            <w:bookmarkEnd w:id="1"/>
          </w:p>
          <w:p w14:paraId="6A7AF4C0" w14:textId="44381E7B" w:rsidR="00C45236" w:rsidRPr="009612F7" w:rsidRDefault="00C45236" w:rsidP="00C45236">
            <w:pPr>
              <w:pStyle w:val="Heading2"/>
              <w:ind w:left="0"/>
              <w:jc w:val="center"/>
              <w:outlineLvl w:val="1"/>
              <w:rPr>
                <w:rFonts w:asciiTheme="minorHAnsi" w:hAnsiTheme="minorHAnsi" w:cstheme="minorHAnsi"/>
                <w:bCs w:val="0"/>
                <w:sz w:val="28"/>
                <w:szCs w:val="28"/>
              </w:rPr>
            </w:pPr>
            <w:r w:rsidRPr="009612F7">
              <w:rPr>
                <w:rFonts w:asciiTheme="minorHAnsi" w:hAnsiTheme="minorHAnsi" w:cstheme="minorHAnsi"/>
                <w:bCs w:val="0"/>
                <w:sz w:val="28"/>
                <w:szCs w:val="28"/>
              </w:rPr>
              <w:t>Standardized</w:t>
            </w:r>
            <w:r w:rsidRPr="009612F7">
              <w:rPr>
                <w:rFonts w:asciiTheme="minorHAnsi" w:hAnsiTheme="minorHAnsi" w:cstheme="minorHAnsi"/>
                <w:bCs w:val="0"/>
                <w:spacing w:val="-2"/>
                <w:sz w:val="28"/>
                <w:szCs w:val="28"/>
              </w:rPr>
              <w:t xml:space="preserve"> </w:t>
            </w:r>
            <w:r w:rsidRPr="009612F7">
              <w:rPr>
                <w:rFonts w:asciiTheme="minorHAnsi" w:hAnsiTheme="minorHAnsi" w:cstheme="minorHAnsi"/>
                <w:bCs w:val="0"/>
                <w:sz w:val="28"/>
                <w:szCs w:val="28"/>
              </w:rPr>
              <w:t>Assessment Requirements</w:t>
            </w:r>
          </w:p>
        </w:tc>
      </w:tr>
      <w:tr w:rsidR="00C45236" w:rsidRPr="00175784" w14:paraId="4565005B" w14:textId="77777777" w:rsidTr="00DE6F6F">
        <w:tc>
          <w:tcPr>
            <w:tcW w:w="3098" w:type="dxa"/>
          </w:tcPr>
          <w:p w14:paraId="6FC95D30" w14:textId="7038E3F4" w:rsidR="00C45236" w:rsidRPr="00175784" w:rsidRDefault="00C45236" w:rsidP="00101BD7">
            <w:pPr>
              <w:pStyle w:val="Heading2"/>
              <w:ind w:left="0"/>
              <w:jc w:val="center"/>
              <w:outlineLvl w:val="1"/>
              <w:rPr>
                <w:rFonts w:asciiTheme="minorHAnsi" w:hAnsiTheme="minorHAnsi" w:cstheme="minorHAnsi"/>
                <w:bCs w:val="0"/>
                <w:sz w:val="22"/>
                <w:szCs w:val="22"/>
              </w:rPr>
            </w:pPr>
            <w:r w:rsidRPr="00175784">
              <w:rPr>
                <w:rFonts w:asciiTheme="minorHAnsi" w:hAnsiTheme="minorHAnsi" w:cstheme="minorHAnsi"/>
                <w:bCs w:val="0"/>
                <w:sz w:val="22"/>
                <w:szCs w:val="22"/>
              </w:rPr>
              <w:t>General</w:t>
            </w:r>
          </w:p>
        </w:tc>
        <w:tc>
          <w:tcPr>
            <w:tcW w:w="5650" w:type="dxa"/>
          </w:tcPr>
          <w:p w14:paraId="700FBC9F" w14:textId="1AB83ACE" w:rsidR="00C45236" w:rsidRPr="00175784" w:rsidRDefault="00C45236" w:rsidP="009612F7">
            <w:pPr>
              <w:pStyle w:val="BodyText"/>
              <w:numPr>
                <w:ilvl w:val="0"/>
                <w:numId w:val="21"/>
              </w:numPr>
              <w:ind w:left="360"/>
              <w:rPr>
                <w:rFonts w:asciiTheme="minorHAnsi" w:hAnsiTheme="minorHAnsi" w:cstheme="minorHAnsi"/>
                <w:bCs/>
                <w:sz w:val="22"/>
                <w:szCs w:val="22"/>
              </w:rPr>
            </w:pPr>
            <w:r w:rsidRPr="00175784">
              <w:rPr>
                <w:rFonts w:asciiTheme="minorHAnsi" w:hAnsiTheme="minorHAnsi" w:cstheme="minorHAnsi"/>
                <w:bCs/>
                <w:sz w:val="22"/>
                <w:szCs w:val="22"/>
              </w:rPr>
              <w:t>Typed or legibly printed name, signature of the service provider and date of signature</w:t>
            </w:r>
          </w:p>
          <w:p w14:paraId="28B4B745" w14:textId="235A3341" w:rsidR="00C45236" w:rsidRPr="00175784" w:rsidRDefault="00C45236" w:rsidP="009612F7">
            <w:pPr>
              <w:pStyle w:val="BodyText"/>
              <w:numPr>
                <w:ilvl w:val="0"/>
                <w:numId w:val="21"/>
              </w:numPr>
              <w:ind w:left="360"/>
              <w:rPr>
                <w:rFonts w:asciiTheme="minorHAnsi" w:hAnsiTheme="minorHAnsi" w:cstheme="minorHAnsi"/>
                <w:bCs/>
                <w:sz w:val="22"/>
                <w:szCs w:val="22"/>
              </w:rPr>
            </w:pPr>
            <w:r w:rsidRPr="00175784">
              <w:rPr>
                <w:rFonts w:asciiTheme="minorHAnsi" w:hAnsiTheme="minorHAnsi" w:cstheme="minorHAnsi"/>
                <w:bCs/>
                <w:sz w:val="22"/>
                <w:szCs w:val="22"/>
              </w:rPr>
              <w:t xml:space="preserve">Provider’s determination of medical necessity and </w:t>
            </w:r>
            <w:r w:rsidR="009612F7" w:rsidRPr="00175784">
              <w:rPr>
                <w:rFonts w:asciiTheme="minorHAnsi" w:hAnsiTheme="minorHAnsi" w:cstheme="minorHAnsi"/>
                <w:bCs/>
                <w:sz w:val="22"/>
                <w:szCs w:val="22"/>
              </w:rPr>
              <w:t>r</w:t>
            </w:r>
            <w:r w:rsidRPr="00175784">
              <w:rPr>
                <w:rFonts w:asciiTheme="minorHAnsi" w:hAnsiTheme="minorHAnsi" w:cstheme="minorHAnsi"/>
                <w:bCs/>
                <w:sz w:val="22"/>
                <w:szCs w:val="22"/>
              </w:rPr>
              <w:t xml:space="preserve">ecommendation </w:t>
            </w:r>
            <w:r w:rsidR="009612F7" w:rsidRPr="00175784">
              <w:rPr>
                <w:rFonts w:asciiTheme="minorHAnsi" w:hAnsiTheme="minorHAnsi" w:cstheme="minorHAnsi"/>
                <w:bCs/>
                <w:sz w:val="22"/>
                <w:szCs w:val="22"/>
              </w:rPr>
              <w:t>f</w:t>
            </w:r>
            <w:r w:rsidRPr="00175784">
              <w:rPr>
                <w:rFonts w:asciiTheme="minorHAnsi" w:hAnsiTheme="minorHAnsi" w:cstheme="minorHAnsi"/>
                <w:bCs/>
                <w:sz w:val="22"/>
                <w:szCs w:val="22"/>
              </w:rPr>
              <w:t>or services.</w:t>
            </w:r>
          </w:p>
          <w:p w14:paraId="46998DDC" w14:textId="77777777" w:rsidR="00C45236" w:rsidRPr="00175784" w:rsidRDefault="00C45236" w:rsidP="009612F7">
            <w:pPr>
              <w:pStyle w:val="BodyText"/>
              <w:numPr>
                <w:ilvl w:val="0"/>
                <w:numId w:val="21"/>
              </w:numPr>
              <w:ind w:left="360"/>
              <w:rPr>
                <w:rFonts w:asciiTheme="minorHAnsi" w:hAnsiTheme="minorHAnsi" w:cstheme="minorHAnsi"/>
                <w:bCs/>
                <w:sz w:val="22"/>
                <w:szCs w:val="22"/>
              </w:rPr>
            </w:pPr>
            <w:r w:rsidRPr="00175784">
              <w:rPr>
                <w:rFonts w:asciiTheme="minorHAnsi" w:hAnsiTheme="minorHAnsi" w:cstheme="minorHAnsi"/>
                <w:bCs/>
                <w:sz w:val="22"/>
                <w:szCs w:val="22"/>
              </w:rPr>
              <w:t xml:space="preserve">The diagnosis, MSE, medication history and assessment of relevant conditions and psychosocial factors affecting the beneficiary’s physical and mental health must be completed by a provider, operating in his/her scope of practice under CA State law, who is licensed, registered, waivered and/or under the direction of a licensed mental health professional as defined in the State Plan. </w:t>
            </w:r>
          </w:p>
          <w:p w14:paraId="4CD5793B" w14:textId="77777777" w:rsidR="00C45236" w:rsidRPr="00175784" w:rsidRDefault="00C45236" w:rsidP="009612F7">
            <w:pPr>
              <w:pStyle w:val="BodyText"/>
              <w:numPr>
                <w:ilvl w:val="0"/>
                <w:numId w:val="21"/>
              </w:numPr>
              <w:ind w:left="360"/>
              <w:rPr>
                <w:sz w:val="22"/>
                <w:szCs w:val="22"/>
              </w:rPr>
            </w:pPr>
            <w:r w:rsidRPr="00175784">
              <w:rPr>
                <w:rFonts w:asciiTheme="minorHAnsi" w:hAnsiTheme="minorHAnsi" w:cstheme="minorHAnsi"/>
                <w:bCs/>
                <w:sz w:val="22"/>
                <w:szCs w:val="22"/>
              </w:rPr>
              <w:t xml:space="preserve">The MHP may designate certain other qualified providers to contribute to the assessment, including gathering the beneficiary’s MH and medical history, substance exposure and use and identifying strengths, risks and barriers to achieving goals.  </w:t>
            </w:r>
          </w:p>
          <w:p w14:paraId="412A59F7" w14:textId="0D31DC1A" w:rsidR="009612F7" w:rsidRPr="00175784" w:rsidRDefault="009612F7" w:rsidP="009612F7">
            <w:pPr>
              <w:pStyle w:val="BodyText"/>
              <w:ind w:left="720" w:right="707"/>
              <w:rPr>
                <w:sz w:val="22"/>
                <w:szCs w:val="22"/>
              </w:rPr>
            </w:pPr>
          </w:p>
        </w:tc>
        <w:tc>
          <w:tcPr>
            <w:tcW w:w="5472" w:type="dxa"/>
          </w:tcPr>
          <w:p w14:paraId="171ECF6E" w14:textId="77777777" w:rsidR="00C45236" w:rsidRPr="00175784" w:rsidRDefault="00C45236" w:rsidP="009612F7">
            <w:pPr>
              <w:pStyle w:val="BodyText"/>
              <w:numPr>
                <w:ilvl w:val="0"/>
                <w:numId w:val="21"/>
              </w:numPr>
              <w:ind w:left="360" w:right="706"/>
              <w:rPr>
                <w:rFonts w:asciiTheme="minorHAnsi" w:hAnsiTheme="minorHAnsi" w:cstheme="minorHAnsi"/>
                <w:bCs/>
                <w:sz w:val="22"/>
                <w:szCs w:val="22"/>
              </w:rPr>
            </w:pPr>
            <w:r w:rsidRPr="00175784">
              <w:rPr>
                <w:rFonts w:asciiTheme="minorHAnsi" w:hAnsiTheme="minorHAnsi" w:cstheme="minorHAnsi"/>
                <w:bCs/>
                <w:sz w:val="22"/>
                <w:szCs w:val="22"/>
              </w:rPr>
              <w:t>Typed or legibly printed name, signature of the service provider and date of signature</w:t>
            </w:r>
          </w:p>
          <w:p w14:paraId="1408764C" w14:textId="3D4A8E1D" w:rsidR="00C45236" w:rsidRPr="00175784" w:rsidRDefault="00C45236" w:rsidP="009612F7">
            <w:pPr>
              <w:pStyle w:val="BodyText"/>
              <w:numPr>
                <w:ilvl w:val="0"/>
                <w:numId w:val="21"/>
              </w:numPr>
              <w:ind w:left="360" w:right="706"/>
              <w:rPr>
                <w:rFonts w:asciiTheme="minorHAnsi" w:hAnsiTheme="minorHAnsi" w:cstheme="minorHAnsi"/>
                <w:bCs/>
                <w:sz w:val="22"/>
                <w:szCs w:val="22"/>
              </w:rPr>
            </w:pPr>
            <w:r w:rsidRPr="00175784">
              <w:rPr>
                <w:rFonts w:asciiTheme="minorHAnsi" w:hAnsiTheme="minorHAnsi" w:cstheme="minorHAnsi"/>
                <w:bCs/>
                <w:sz w:val="22"/>
                <w:szCs w:val="22"/>
              </w:rPr>
              <w:t>Provider’s determination of medical necessity and recommendation for services.</w:t>
            </w:r>
          </w:p>
          <w:p w14:paraId="703AD137" w14:textId="77777777" w:rsidR="00C45236" w:rsidRPr="00175784" w:rsidRDefault="00C45236" w:rsidP="00BD503A">
            <w:pPr>
              <w:pStyle w:val="BodyText"/>
              <w:ind w:left="720" w:right="707"/>
              <w:rPr>
                <w:rFonts w:asciiTheme="minorHAnsi" w:hAnsiTheme="minorHAnsi" w:cstheme="minorHAnsi"/>
                <w:bCs/>
                <w:sz w:val="22"/>
                <w:szCs w:val="22"/>
              </w:rPr>
            </w:pPr>
          </w:p>
          <w:p w14:paraId="07E5BE37" w14:textId="77777777" w:rsidR="00C45236" w:rsidRPr="00175784" w:rsidRDefault="00C45236" w:rsidP="00695F34">
            <w:pPr>
              <w:pStyle w:val="BodyText"/>
              <w:ind w:left="14" w:right="707"/>
              <w:rPr>
                <w:rFonts w:asciiTheme="minorHAnsi" w:hAnsiTheme="minorHAnsi" w:cstheme="minorHAnsi"/>
                <w:sz w:val="22"/>
                <w:szCs w:val="22"/>
              </w:rPr>
            </w:pPr>
          </w:p>
          <w:p w14:paraId="5DFD3B3C" w14:textId="2ED623EB" w:rsidR="00C45236" w:rsidRPr="00175784" w:rsidRDefault="00C45236" w:rsidP="00C45236">
            <w:pPr>
              <w:pStyle w:val="BodyText"/>
              <w:ind w:left="14" w:right="707"/>
              <w:rPr>
                <w:rFonts w:asciiTheme="minorHAnsi" w:hAnsiTheme="minorHAnsi" w:cstheme="minorHAnsi"/>
                <w:sz w:val="22"/>
                <w:szCs w:val="22"/>
              </w:rPr>
            </w:pPr>
          </w:p>
        </w:tc>
      </w:tr>
      <w:tr w:rsidR="00C45236" w:rsidRPr="00175784" w14:paraId="20163B7F" w14:textId="77777777" w:rsidTr="00DE6F6F">
        <w:tc>
          <w:tcPr>
            <w:tcW w:w="3098" w:type="dxa"/>
          </w:tcPr>
          <w:p w14:paraId="413895C5" w14:textId="7C8325A0" w:rsidR="00C45236" w:rsidRPr="00175784" w:rsidRDefault="00C45236" w:rsidP="00101BD7">
            <w:pPr>
              <w:pStyle w:val="Heading2"/>
              <w:ind w:left="0"/>
              <w:jc w:val="center"/>
              <w:outlineLvl w:val="1"/>
              <w:rPr>
                <w:rFonts w:asciiTheme="minorHAnsi" w:hAnsiTheme="minorHAnsi" w:cstheme="minorHAnsi"/>
                <w:bCs w:val="0"/>
                <w:sz w:val="22"/>
                <w:szCs w:val="22"/>
              </w:rPr>
            </w:pPr>
            <w:r w:rsidRPr="00175784">
              <w:rPr>
                <w:rFonts w:asciiTheme="minorHAnsi" w:hAnsiTheme="minorHAnsi" w:cstheme="minorHAnsi"/>
                <w:bCs w:val="0"/>
                <w:sz w:val="22"/>
                <w:szCs w:val="22"/>
              </w:rPr>
              <w:t>Timeline</w:t>
            </w:r>
          </w:p>
        </w:tc>
        <w:tc>
          <w:tcPr>
            <w:tcW w:w="5650" w:type="dxa"/>
          </w:tcPr>
          <w:p w14:paraId="5C93D223" w14:textId="77777777" w:rsidR="00C45236" w:rsidRPr="00175784" w:rsidRDefault="00C45236" w:rsidP="00C45236">
            <w:pPr>
              <w:pStyle w:val="BodyText"/>
              <w:numPr>
                <w:ilvl w:val="0"/>
                <w:numId w:val="13"/>
              </w:numPr>
              <w:ind w:left="360" w:right="706"/>
              <w:rPr>
                <w:rFonts w:asciiTheme="minorHAnsi" w:hAnsiTheme="minorHAnsi" w:cstheme="minorHAnsi"/>
                <w:sz w:val="22"/>
                <w:szCs w:val="22"/>
              </w:rPr>
            </w:pPr>
            <w:r w:rsidRPr="00175784">
              <w:rPr>
                <w:rFonts w:asciiTheme="minorHAnsi" w:hAnsiTheme="minorHAnsi" w:cstheme="minorHAnsi"/>
                <w:b/>
                <w:bCs/>
                <w:sz w:val="22"/>
                <w:szCs w:val="22"/>
              </w:rPr>
              <w:t xml:space="preserve">Adult Beneficiaries (21 years or older): </w:t>
            </w:r>
            <w:r w:rsidRPr="00175784">
              <w:rPr>
                <w:rFonts w:asciiTheme="minorHAnsi" w:hAnsiTheme="minorHAnsi" w:cstheme="minorHAnsi"/>
                <w:sz w:val="22"/>
                <w:szCs w:val="22"/>
              </w:rPr>
              <w:t xml:space="preserve">Timeline for initial assessment completion and subsequent assessments will be up to clinical </w:t>
            </w:r>
            <w:r w:rsidRPr="00175784">
              <w:rPr>
                <w:rFonts w:asciiTheme="minorHAnsi" w:hAnsiTheme="minorHAnsi" w:cstheme="minorHAnsi"/>
                <w:sz w:val="22"/>
                <w:szCs w:val="22"/>
              </w:rPr>
              <w:lastRenderedPageBreak/>
              <w:t>discretion with the expectation that they be completed within a reasonable timeframe and in accordance with generally</w:t>
            </w:r>
            <w:r w:rsidRPr="00175784">
              <w:rPr>
                <w:rFonts w:asciiTheme="minorHAnsi" w:hAnsiTheme="minorHAnsi" w:cstheme="minorHAnsi"/>
                <w:spacing w:val="-2"/>
                <w:sz w:val="22"/>
                <w:szCs w:val="22"/>
              </w:rPr>
              <w:t xml:space="preserve"> </w:t>
            </w:r>
            <w:r w:rsidRPr="00175784">
              <w:rPr>
                <w:rFonts w:asciiTheme="minorHAnsi" w:hAnsiTheme="minorHAnsi" w:cstheme="minorHAnsi"/>
                <w:sz w:val="22"/>
                <w:szCs w:val="22"/>
              </w:rPr>
              <w:t>accepted</w:t>
            </w:r>
            <w:r w:rsidRPr="00175784">
              <w:rPr>
                <w:rFonts w:asciiTheme="minorHAnsi" w:hAnsiTheme="minorHAnsi" w:cstheme="minorHAnsi"/>
                <w:spacing w:val="-1"/>
                <w:sz w:val="22"/>
                <w:szCs w:val="22"/>
              </w:rPr>
              <w:t xml:space="preserve"> </w:t>
            </w:r>
            <w:r w:rsidRPr="00175784">
              <w:rPr>
                <w:rFonts w:asciiTheme="minorHAnsi" w:hAnsiTheme="minorHAnsi" w:cstheme="minorHAnsi"/>
                <w:sz w:val="22"/>
                <w:szCs w:val="22"/>
              </w:rPr>
              <w:t>standards</w:t>
            </w:r>
            <w:r w:rsidRPr="00175784">
              <w:rPr>
                <w:rFonts w:asciiTheme="minorHAnsi" w:hAnsiTheme="minorHAnsi" w:cstheme="minorHAnsi"/>
                <w:spacing w:val="-2"/>
                <w:sz w:val="22"/>
                <w:szCs w:val="22"/>
              </w:rPr>
              <w:t xml:space="preserve"> </w:t>
            </w:r>
            <w:r w:rsidRPr="00175784">
              <w:rPr>
                <w:rFonts w:asciiTheme="minorHAnsi" w:hAnsiTheme="minorHAnsi" w:cstheme="minorHAnsi"/>
                <w:sz w:val="22"/>
                <w:szCs w:val="22"/>
              </w:rPr>
              <w:t>of</w:t>
            </w:r>
            <w:r w:rsidRPr="00175784">
              <w:rPr>
                <w:rFonts w:asciiTheme="minorHAnsi" w:hAnsiTheme="minorHAnsi" w:cstheme="minorHAnsi"/>
                <w:spacing w:val="-64"/>
                <w:sz w:val="22"/>
                <w:szCs w:val="22"/>
              </w:rPr>
              <w:t xml:space="preserve"> </w:t>
            </w:r>
            <w:r w:rsidRPr="00175784">
              <w:rPr>
                <w:rFonts w:asciiTheme="minorHAnsi" w:hAnsiTheme="minorHAnsi" w:cstheme="minorHAnsi"/>
                <w:sz w:val="22"/>
                <w:szCs w:val="22"/>
              </w:rPr>
              <w:t>practice.</w:t>
            </w:r>
          </w:p>
          <w:p w14:paraId="2DF1700B" w14:textId="77777777" w:rsidR="00C45236" w:rsidRPr="00175784" w:rsidRDefault="00C45236" w:rsidP="00C45236">
            <w:pPr>
              <w:pStyle w:val="BodyText"/>
              <w:ind w:left="720" w:right="707"/>
              <w:rPr>
                <w:rFonts w:asciiTheme="minorHAnsi" w:hAnsiTheme="minorHAnsi" w:cstheme="minorHAnsi"/>
                <w:b/>
                <w:bCs/>
                <w:sz w:val="22"/>
                <w:szCs w:val="22"/>
              </w:rPr>
            </w:pPr>
          </w:p>
          <w:p w14:paraId="22641BFB" w14:textId="24F6DD3C" w:rsidR="00C45236" w:rsidRPr="00175784" w:rsidRDefault="00C45236" w:rsidP="00C45236">
            <w:pPr>
              <w:pStyle w:val="BodyText"/>
              <w:numPr>
                <w:ilvl w:val="0"/>
                <w:numId w:val="18"/>
              </w:numPr>
              <w:ind w:left="360" w:right="706"/>
              <w:rPr>
                <w:rFonts w:asciiTheme="minorHAnsi" w:hAnsiTheme="minorHAnsi" w:cstheme="minorHAnsi"/>
                <w:sz w:val="22"/>
                <w:szCs w:val="22"/>
                <w:u w:val="single"/>
              </w:rPr>
            </w:pPr>
            <w:r w:rsidRPr="00175784">
              <w:rPr>
                <w:rFonts w:asciiTheme="minorHAnsi" w:hAnsiTheme="minorHAnsi" w:cstheme="minorHAnsi"/>
                <w:b/>
                <w:bCs/>
                <w:sz w:val="22"/>
                <w:szCs w:val="22"/>
              </w:rPr>
              <w:t xml:space="preserve">Beneficiaries under 21 years of age: </w:t>
            </w:r>
            <w:r w:rsidRPr="00175784">
              <w:rPr>
                <w:rFonts w:asciiTheme="minorHAnsi" w:hAnsiTheme="minorHAnsi" w:cstheme="minorHAnsi"/>
                <w:sz w:val="22"/>
                <w:szCs w:val="22"/>
              </w:rPr>
              <w:t>Timeline for initial CANS completion and subsequent CANS will be up to clinical discretion with the expectation that they be completed within a reasonable timeframe and in accordance with generally</w:t>
            </w:r>
            <w:r w:rsidRPr="00175784">
              <w:rPr>
                <w:rFonts w:asciiTheme="minorHAnsi" w:hAnsiTheme="minorHAnsi" w:cstheme="minorHAnsi"/>
                <w:spacing w:val="-2"/>
                <w:sz w:val="22"/>
                <w:szCs w:val="22"/>
              </w:rPr>
              <w:t xml:space="preserve"> </w:t>
            </w:r>
            <w:r w:rsidRPr="00175784">
              <w:rPr>
                <w:rFonts w:asciiTheme="minorHAnsi" w:hAnsiTheme="minorHAnsi" w:cstheme="minorHAnsi"/>
                <w:sz w:val="22"/>
                <w:szCs w:val="22"/>
              </w:rPr>
              <w:t>accepted</w:t>
            </w:r>
            <w:r w:rsidRPr="00175784">
              <w:rPr>
                <w:rFonts w:asciiTheme="minorHAnsi" w:hAnsiTheme="minorHAnsi" w:cstheme="minorHAnsi"/>
                <w:spacing w:val="-1"/>
                <w:sz w:val="22"/>
                <w:szCs w:val="22"/>
              </w:rPr>
              <w:t xml:space="preserve"> </w:t>
            </w:r>
            <w:r w:rsidRPr="00175784">
              <w:rPr>
                <w:rFonts w:asciiTheme="minorHAnsi" w:hAnsiTheme="minorHAnsi" w:cstheme="minorHAnsi"/>
                <w:sz w:val="22"/>
                <w:szCs w:val="22"/>
              </w:rPr>
              <w:t>standards</w:t>
            </w:r>
            <w:r w:rsidRPr="00175784">
              <w:rPr>
                <w:rFonts w:asciiTheme="minorHAnsi" w:hAnsiTheme="minorHAnsi" w:cstheme="minorHAnsi"/>
                <w:spacing w:val="-2"/>
                <w:sz w:val="22"/>
                <w:szCs w:val="22"/>
              </w:rPr>
              <w:t xml:space="preserve"> </w:t>
            </w:r>
            <w:r w:rsidRPr="00175784">
              <w:rPr>
                <w:rFonts w:asciiTheme="minorHAnsi" w:hAnsiTheme="minorHAnsi" w:cstheme="minorHAnsi"/>
                <w:sz w:val="22"/>
                <w:szCs w:val="22"/>
              </w:rPr>
              <w:t>of</w:t>
            </w:r>
            <w:r w:rsidRPr="00175784">
              <w:rPr>
                <w:rFonts w:asciiTheme="minorHAnsi" w:hAnsiTheme="minorHAnsi" w:cstheme="minorHAnsi"/>
                <w:spacing w:val="-64"/>
                <w:sz w:val="22"/>
                <w:szCs w:val="22"/>
              </w:rPr>
              <w:t xml:space="preserve">    </w:t>
            </w:r>
            <w:r w:rsidR="00FA4412">
              <w:rPr>
                <w:rFonts w:asciiTheme="minorHAnsi" w:hAnsiTheme="minorHAnsi" w:cstheme="minorHAnsi"/>
                <w:spacing w:val="-64"/>
                <w:sz w:val="22"/>
                <w:szCs w:val="22"/>
              </w:rPr>
              <w:t xml:space="preserve"> </w:t>
            </w:r>
            <w:r w:rsidRPr="00175784">
              <w:rPr>
                <w:rFonts w:asciiTheme="minorHAnsi" w:hAnsiTheme="minorHAnsi" w:cstheme="minorHAnsi"/>
                <w:sz w:val="22"/>
                <w:szCs w:val="22"/>
              </w:rPr>
              <w:t>practice.</w:t>
            </w:r>
          </w:p>
          <w:p w14:paraId="32D67A43" w14:textId="77777777" w:rsidR="00C45236" w:rsidRPr="00175784" w:rsidRDefault="00C45236" w:rsidP="00101BD7">
            <w:pPr>
              <w:pStyle w:val="BodyText"/>
              <w:ind w:right="707"/>
              <w:rPr>
                <w:rFonts w:asciiTheme="minorHAnsi" w:hAnsiTheme="minorHAnsi" w:cstheme="minorHAnsi"/>
                <w:b/>
                <w:bCs/>
                <w:sz w:val="22"/>
                <w:szCs w:val="22"/>
              </w:rPr>
            </w:pPr>
          </w:p>
        </w:tc>
        <w:tc>
          <w:tcPr>
            <w:tcW w:w="5472" w:type="dxa"/>
          </w:tcPr>
          <w:p w14:paraId="682CAB36" w14:textId="77777777" w:rsidR="00C45236" w:rsidRPr="00175784" w:rsidRDefault="00C45236" w:rsidP="00C45236">
            <w:pPr>
              <w:pStyle w:val="BodyText"/>
              <w:numPr>
                <w:ilvl w:val="0"/>
                <w:numId w:val="22"/>
              </w:numPr>
              <w:ind w:right="707"/>
              <w:rPr>
                <w:rFonts w:asciiTheme="minorHAnsi" w:hAnsiTheme="minorHAnsi" w:cstheme="minorHAnsi"/>
                <w:sz w:val="22"/>
                <w:szCs w:val="22"/>
              </w:rPr>
            </w:pPr>
            <w:r w:rsidRPr="00175784">
              <w:rPr>
                <w:rFonts w:asciiTheme="minorHAnsi" w:hAnsiTheme="minorHAnsi" w:cstheme="minorHAnsi"/>
                <w:sz w:val="22"/>
                <w:szCs w:val="22"/>
              </w:rPr>
              <w:lastRenderedPageBreak/>
              <w:t xml:space="preserve">Covered and clinically appropriate DMC-ODS services (except residential) are Medi-Cal reimbursable whether or not a diagnosis for </w:t>
            </w:r>
            <w:r w:rsidRPr="00175784">
              <w:rPr>
                <w:rFonts w:asciiTheme="minorHAnsi" w:hAnsiTheme="minorHAnsi" w:cstheme="minorHAnsi"/>
                <w:sz w:val="22"/>
                <w:szCs w:val="22"/>
              </w:rPr>
              <w:lastRenderedPageBreak/>
              <w:t>SUD is established</w:t>
            </w:r>
          </w:p>
          <w:p w14:paraId="14B12357" w14:textId="77777777" w:rsidR="00C45236" w:rsidRPr="00175784" w:rsidRDefault="00C45236" w:rsidP="009612F7">
            <w:pPr>
              <w:pStyle w:val="BodyText"/>
              <w:numPr>
                <w:ilvl w:val="1"/>
                <w:numId w:val="22"/>
              </w:numPr>
              <w:ind w:left="648" w:right="707"/>
              <w:rPr>
                <w:rFonts w:asciiTheme="minorHAnsi" w:hAnsiTheme="minorHAnsi" w:cstheme="minorHAnsi"/>
                <w:sz w:val="22"/>
                <w:szCs w:val="22"/>
              </w:rPr>
            </w:pPr>
            <w:r w:rsidRPr="00175784">
              <w:rPr>
                <w:rFonts w:asciiTheme="minorHAnsi" w:hAnsiTheme="minorHAnsi" w:cstheme="minorHAnsi"/>
                <w:sz w:val="22"/>
                <w:szCs w:val="22"/>
              </w:rPr>
              <w:t xml:space="preserve">for up to 30 days following the first visit with a LPHA, , or </w:t>
            </w:r>
          </w:p>
          <w:p w14:paraId="691D320E" w14:textId="6AA58995" w:rsidR="00C45236" w:rsidRPr="00175784" w:rsidRDefault="00C45236" w:rsidP="009612F7">
            <w:pPr>
              <w:pStyle w:val="Heading2"/>
              <w:numPr>
                <w:ilvl w:val="1"/>
                <w:numId w:val="22"/>
              </w:numPr>
              <w:ind w:left="648"/>
              <w:outlineLvl w:val="1"/>
              <w:rPr>
                <w:rFonts w:asciiTheme="minorHAnsi" w:hAnsiTheme="minorHAnsi" w:cstheme="minorHAnsi"/>
                <w:b w:val="0"/>
                <w:bCs w:val="0"/>
                <w:sz w:val="22"/>
                <w:szCs w:val="22"/>
                <w:u w:val="single"/>
              </w:rPr>
            </w:pPr>
            <w:r w:rsidRPr="00175784">
              <w:rPr>
                <w:rFonts w:asciiTheme="minorHAnsi" w:hAnsiTheme="minorHAnsi" w:cstheme="minorHAnsi"/>
                <w:b w:val="0"/>
                <w:sz w:val="22"/>
                <w:szCs w:val="22"/>
              </w:rPr>
              <w:t>up to 60 days if the beneficiary is under 21 or provider documents that the client is experiencing homelessness and therefore requires additional time to complete the assessment.</w:t>
            </w:r>
          </w:p>
        </w:tc>
      </w:tr>
      <w:tr w:rsidR="00C45236" w:rsidRPr="00175784" w14:paraId="6AE5B75F" w14:textId="77777777" w:rsidTr="00DE6F6F">
        <w:tc>
          <w:tcPr>
            <w:tcW w:w="3098" w:type="dxa"/>
          </w:tcPr>
          <w:p w14:paraId="0B78DAA1" w14:textId="3026D00D" w:rsidR="00C45236" w:rsidRPr="00175784" w:rsidRDefault="00C45236" w:rsidP="00101BD7">
            <w:pPr>
              <w:pStyle w:val="Heading2"/>
              <w:ind w:left="0"/>
              <w:jc w:val="center"/>
              <w:outlineLvl w:val="1"/>
              <w:rPr>
                <w:rFonts w:asciiTheme="minorHAnsi" w:hAnsiTheme="minorHAnsi" w:cstheme="minorHAnsi"/>
                <w:bCs w:val="0"/>
                <w:sz w:val="22"/>
                <w:szCs w:val="22"/>
              </w:rPr>
            </w:pPr>
            <w:r w:rsidRPr="00175784">
              <w:rPr>
                <w:rFonts w:asciiTheme="minorHAnsi" w:hAnsiTheme="minorHAnsi" w:cstheme="minorHAnsi"/>
                <w:bCs w:val="0"/>
                <w:sz w:val="22"/>
                <w:szCs w:val="22"/>
              </w:rPr>
              <w:lastRenderedPageBreak/>
              <w:t>Domains</w:t>
            </w:r>
          </w:p>
        </w:tc>
        <w:tc>
          <w:tcPr>
            <w:tcW w:w="5650" w:type="dxa"/>
          </w:tcPr>
          <w:p w14:paraId="7929A73F" w14:textId="77777777" w:rsidR="00C45236" w:rsidRPr="00175784" w:rsidRDefault="00C45236" w:rsidP="00C45236">
            <w:pPr>
              <w:pStyle w:val="BodyText"/>
              <w:ind w:right="707"/>
              <w:rPr>
                <w:rFonts w:asciiTheme="minorHAnsi" w:hAnsiTheme="minorHAnsi" w:cstheme="minorHAnsi"/>
                <w:b/>
                <w:bCs/>
                <w:sz w:val="22"/>
                <w:szCs w:val="22"/>
              </w:rPr>
            </w:pPr>
            <w:r w:rsidRPr="00175784">
              <w:rPr>
                <w:rFonts w:asciiTheme="minorHAnsi" w:hAnsiTheme="minorHAnsi" w:cstheme="minorHAnsi"/>
                <w:b/>
                <w:bCs/>
                <w:sz w:val="22"/>
                <w:szCs w:val="22"/>
              </w:rPr>
              <w:t>Adult Beneficiaries (21 years of age or older):</w:t>
            </w:r>
          </w:p>
          <w:p w14:paraId="4E022588" w14:textId="77777777" w:rsidR="00C45236" w:rsidRPr="00175784" w:rsidRDefault="00C45236" w:rsidP="00590666">
            <w:pPr>
              <w:pStyle w:val="BodyText"/>
              <w:ind w:right="706"/>
              <w:rPr>
                <w:rFonts w:asciiTheme="minorHAnsi" w:hAnsiTheme="minorHAnsi" w:cstheme="minorHAnsi"/>
                <w:sz w:val="22"/>
                <w:szCs w:val="22"/>
              </w:rPr>
            </w:pPr>
            <w:r w:rsidRPr="00175784">
              <w:rPr>
                <w:rFonts w:asciiTheme="minorHAnsi" w:hAnsiTheme="minorHAnsi" w:cstheme="minorHAnsi"/>
                <w:sz w:val="22"/>
                <w:szCs w:val="22"/>
              </w:rPr>
              <w:t>Uniform assessment to include the following 7 domains:</w:t>
            </w:r>
          </w:p>
          <w:p w14:paraId="43669FCF"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t>Domain 1:</w:t>
            </w:r>
          </w:p>
          <w:p w14:paraId="530D9407"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Presenting Problem(s)</w:t>
            </w:r>
          </w:p>
          <w:p w14:paraId="4AF4A37D"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Current Mental Status</w:t>
            </w:r>
          </w:p>
          <w:p w14:paraId="2630CF2C"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History of Presenting Problem(s)</w:t>
            </w:r>
          </w:p>
          <w:p w14:paraId="39889FE1"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Beneficiary-Identified Impairment(s)</w:t>
            </w:r>
          </w:p>
          <w:p w14:paraId="496A4CDC"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t>Domain 2:</w:t>
            </w:r>
          </w:p>
          <w:p w14:paraId="0E1370C3"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Trauma</w:t>
            </w:r>
          </w:p>
          <w:p w14:paraId="1AD99E57"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t>Domain 3:</w:t>
            </w:r>
          </w:p>
          <w:p w14:paraId="299C3D9C"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Behavioral Health History</w:t>
            </w:r>
          </w:p>
          <w:p w14:paraId="69F44084"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Comorbidity</w:t>
            </w:r>
          </w:p>
          <w:p w14:paraId="5A5C06A8"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t>Domain 4:</w:t>
            </w:r>
          </w:p>
          <w:p w14:paraId="17783ACB"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Medical History</w:t>
            </w:r>
          </w:p>
          <w:p w14:paraId="7A743677"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Current Medications</w:t>
            </w:r>
          </w:p>
          <w:p w14:paraId="575A6053"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Comorbidity with Behavioral Health</w:t>
            </w:r>
          </w:p>
          <w:p w14:paraId="412E3BF9"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t>Domain 5:</w:t>
            </w:r>
          </w:p>
          <w:p w14:paraId="25BFA7E9"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Social and Life Circumstances</w:t>
            </w:r>
          </w:p>
          <w:p w14:paraId="44995110"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Culture/Religion/Spirituality</w:t>
            </w:r>
          </w:p>
          <w:p w14:paraId="48C7AE3A"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lastRenderedPageBreak/>
              <w:t>Domain 6:</w:t>
            </w:r>
          </w:p>
          <w:p w14:paraId="2F73B1A0"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Strengths, Risk Behaviors and Safety Factors</w:t>
            </w:r>
          </w:p>
          <w:p w14:paraId="047216B4" w14:textId="77777777" w:rsidR="00C45236" w:rsidRPr="00175784" w:rsidRDefault="00C45236" w:rsidP="00C45236">
            <w:pPr>
              <w:pStyle w:val="BodyText"/>
              <w:numPr>
                <w:ilvl w:val="0"/>
                <w:numId w:val="13"/>
              </w:numPr>
              <w:ind w:right="706"/>
              <w:rPr>
                <w:rFonts w:asciiTheme="minorHAnsi" w:hAnsiTheme="minorHAnsi" w:cstheme="minorHAnsi"/>
                <w:sz w:val="22"/>
                <w:szCs w:val="22"/>
              </w:rPr>
            </w:pPr>
            <w:r w:rsidRPr="00175784">
              <w:rPr>
                <w:rFonts w:asciiTheme="minorHAnsi" w:hAnsiTheme="minorHAnsi" w:cstheme="minorHAnsi"/>
                <w:sz w:val="22"/>
                <w:szCs w:val="22"/>
              </w:rPr>
              <w:t xml:space="preserve">Domain 7: </w:t>
            </w:r>
          </w:p>
          <w:p w14:paraId="27DDA71F" w14:textId="64714CA5"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 xml:space="preserve">Clinical Summary and </w:t>
            </w:r>
            <w:r w:rsidR="00590666">
              <w:rPr>
                <w:rFonts w:asciiTheme="minorHAnsi" w:hAnsiTheme="minorHAnsi" w:cstheme="minorHAnsi"/>
                <w:sz w:val="22"/>
                <w:szCs w:val="22"/>
              </w:rPr>
              <w:t>R</w:t>
            </w:r>
            <w:r w:rsidRPr="00175784">
              <w:rPr>
                <w:rFonts w:asciiTheme="minorHAnsi" w:hAnsiTheme="minorHAnsi" w:cstheme="minorHAnsi"/>
                <w:sz w:val="22"/>
                <w:szCs w:val="22"/>
              </w:rPr>
              <w:t>ecommendations</w:t>
            </w:r>
          </w:p>
          <w:p w14:paraId="7D611EC8"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Diagnostic Impression</w:t>
            </w:r>
          </w:p>
          <w:p w14:paraId="11E6ECA6" w14:textId="77777777" w:rsidR="00C45236" w:rsidRPr="00175784" w:rsidRDefault="00C45236" w:rsidP="00590666">
            <w:pPr>
              <w:pStyle w:val="BodyText"/>
              <w:numPr>
                <w:ilvl w:val="1"/>
                <w:numId w:val="13"/>
              </w:numPr>
              <w:ind w:left="1080" w:right="706"/>
              <w:rPr>
                <w:rFonts w:asciiTheme="minorHAnsi" w:hAnsiTheme="minorHAnsi" w:cstheme="minorHAnsi"/>
                <w:sz w:val="22"/>
                <w:szCs w:val="22"/>
              </w:rPr>
            </w:pPr>
            <w:r w:rsidRPr="00175784">
              <w:rPr>
                <w:rFonts w:asciiTheme="minorHAnsi" w:hAnsiTheme="minorHAnsi" w:cstheme="minorHAnsi"/>
                <w:sz w:val="22"/>
                <w:szCs w:val="22"/>
              </w:rPr>
              <w:t>Medical Necessity Determination/Level of Care/Access Criteria</w:t>
            </w:r>
          </w:p>
          <w:p w14:paraId="631157DF" w14:textId="77777777" w:rsidR="00C45236" w:rsidRPr="00175784" w:rsidRDefault="00C45236" w:rsidP="00C45236">
            <w:pPr>
              <w:pStyle w:val="BodyText"/>
              <w:ind w:left="360" w:right="706"/>
              <w:rPr>
                <w:rFonts w:asciiTheme="minorHAnsi" w:hAnsiTheme="minorHAnsi" w:cstheme="minorHAnsi"/>
                <w:sz w:val="22"/>
                <w:szCs w:val="22"/>
              </w:rPr>
            </w:pPr>
          </w:p>
          <w:p w14:paraId="5A3F8518" w14:textId="77777777" w:rsidR="00C45236" w:rsidRPr="00175784" w:rsidRDefault="00C45236" w:rsidP="00C45236">
            <w:pPr>
              <w:pStyle w:val="BodyText"/>
              <w:ind w:right="707"/>
              <w:rPr>
                <w:rFonts w:asciiTheme="minorHAnsi" w:hAnsiTheme="minorHAnsi" w:cstheme="minorHAnsi"/>
                <w:b/>
                <w:bCs/>
                <w:sz w:val="22"/>
                <w:szCs w:val="22"/>
              </w:rPr>
            </w:pPr>
            <w:r w:rsidRPr="00175784">
              <w:rPr>
                <w:rFonts w:asciiTheme="minorHAnsi" w:hAnsiTheme="minorHAnsi" w:cstheme="minorHAnsi"/>
                <w:b/>
                <w:bCs/>
                <w:sz w:val="22"/>
                <w:szCs w:val="22"/>
              </w:rPr>
              <w:t xml:space="preserve">Beneficiaries under 21 years of age: </w:t>
            </w:r>
          </w:p>
          <w:p w14:paraId="36680B0F" w14:textId="7C8A0896" w:rsidR="00C45236" w:rsidRPr="00175784" w:rsidRDefault="00C45236" w:rsidP="00C45236">
            <w:pPr>
              <w:pStyle w:val="BodyText"/>
              <w:numPr>
                <w:ilvl w:val="0"/>
                <w:numId w:val="17"/>
              </w:numPr>
              <w:ind w:right="707"/>
              <w:rPr>
                <w:rFonts w:asciiTheme="minorHAnsi" w:hAnsiTheme="minorHAnsi" w:cstheme="minorHAnsi"/>
                <w:b/>
                <w:bCs/>
                <w:sz w:val="22"/>
                <w:szCs w:val="22"/>
              </w:rPr>
            </w:pPr>
            <w:r w:rsidRPr="00175784">
              <w:rPr>
                <w:rFonts w:asciiTheme="minorHAnsi" w:hAnsiTheme="minorHAnsi" w:cstheme="minorHAnsi"/>
                <w:sz w:val="22"/>
                <w:szCs w:val="22"/>
              </w:rPr>
              <w:t>The Child and</w:t>
            </w:r>
            <w:r w:rsidRPr="00175784">
              <w:rPr>
                <w:rFonts w:asciiTheme="minorHAnsi" w:hAnsiTheme="minorHAnsi" w:cstheme="minorHAnsi"/>
                <w:spacing w:val="1"/>
                <w:sz w:val="22"/>
                <w:szCs w:val="22"/>
              </w:rPr>
              <w:t xml:space="preserve"> </w:t>
            </w:r>
            <w:r w:rsidRPr="00175784">
              <w:rPr>
                <w:rFonts w:asciiTheme="minorHAnsi" w:hAnsiTheme="minorHAnsi" w:cstheme="minorHAnsi"/>
                <w:sz w:val="22"/>
                <w:szCs w:val="22"/>
              </w:rPr>
              <w:t xml:space="preserve">Adolescent Needs and Strengths (CANS) Assessment tool may be utilized to </w:t>
            </w:r>
            <w:r w:rsidRPr="00175784">
              <w:rPr>
                <w:rFonts w:asciiTheme="minorHAnsi" w:hAnsiTheme="minorHAnsi" w:cstheme="minorHAnsi"/>
                <w:i/>
                <w:sz w:val="22"/>
                <w:szCs w:val="22"/>
              </w:rPr>
              <w:t>help inform the assessment domain requirements</w:t>
            </w:r>
            <w:r w:rsidR="00BA7B2E">
              <w:rPr>
                <w:rFonts w:asciiTheme="minorHAnsi" w:hAnsiTheme="minorHAnsi" w:cstheme="minorHAnsi"/>
                <w:i/>
                <w:sz w:val="22"/>
                <w:szCs w:val="22"/>
              </w:rPr>
              <w:t xml:space="preserve"> </w:t>
            </w:r>
            <w:r w:rsidR="00C52204">
              <w:rPr>
                <w:rFonts w:asciiTheme="minorHAnsi" w:hAnsiTheme="minorHAnsi" w:cstheme="minorHAnsi"/>
                <w:i/>
                <w:sz w:val="22"/>
                <w:szCs w:val="22"/>
              </w:rPr>
              <w:t>listed</w:t>
            </w:r>
            <w:r w:rsidR="00BA7B2E">
              <w:rPr>
                <w:rFonts w:asciiTheme="minorHAnsi" w:hAnsiTheme="minorHAnsi" w:cstheme="minorHAnsi"/>
                <w:i/>
                <w:sz w:val="22"/>
                <w:szCs w:val="22"/>
              </w:rPr>
              <w:t xml:space="preserve"> above</w:t>
            </w:r>
            <w:r w:rsidRPr="00175784">
              <w:rPr>
                <w:rFonts w:asciiTheme="minorHAnsi" w:hAnsiTheme="minorHAnsi" w:cstheme="minorHAnsi"/>
                <w:i/>
                <w:sz w:val="22"/>
                <w:szCs w:val="22"/>
              </w:rPr>
              <w:t xml:space="preserve">. </w:t>
            </w:r>
            <w:r w:rsidR="00C52204" w:rsidRPr="00C52204">
              <w:rPr>
                <w:rFonts w:asciiTheme="minorHAnsi" w:hAnsiTheme="minorHAnsi" w:cstheme="minorHAnsi"/>
                <w:sz w:val="22"/>
                <w:szCs w:val="22"/>
              </w:rPr>
              <w:t>The CANS may inform the </w:t>
            </w:r>
            <w:r w:rsidR="00C52204">
              <w:rPr>
                <w:rFonts w:asciiTheme="minorHAnsi" w:hAnsiTheme="minorHAnsi" w:cstheme="minorHAnsi"/>
                <w:sz w:val="22"/>
                <w:szCs w:val="22"/>
              </w:rPr>
              <w:t>mental health a</w:t>
            </w:r>
            <w:r w:rsidR="00C52204" w:rsidRPr="00C52204">
              <w:rPr>
                <w:rFonts w:asciiTheme="minorHAnsi" w:hAnsiTheme="minorHAnsi" w:cstheme="minorHAnsi"/>
                <w:sz w:val="22"/>
                <w:szCs w:val="22"/>
              </w:rPr>
              <w:t>ssessment but cannot replace it.</w:t>
            </w:r>
          </w:p>
        </w:tc>
        <w:tc>
          <w:tcPr>
            <w:tcW w:w="5472" w:type="dxa"/>
          </w:tcPr>
          <w:p w14:paraId="74893F8B" w14:textId="77777777" w:rsidR="009612F7" w:rsidRPr="00175784" w:rsidRDefault="009612F7" w:rsidP="009612F7">
            <w:pPr>
              <w:pStyle w:val="BodyText"/>
              <w:ind w:right="707"/>
              <w:rPr>
                <w:rFonts w:asciiTheme="minorHAnsi" w:hAnsiTheme="minorHAnsi" w:cstheme="minorHAnsi"/>
                <w:b/>
                <w:bCs/>
                <w:sz w:val="22"/>
                <w:szCs w:val="22"/>
              </w:rPr>
            </w:pPr>
            <w:r w:rsidRPr="00175784">
              <w:rPr>
                <w:rFonts w:asciiTheme="minorHAnsi" w:hAnsiTheme="minorHAnsi" w:cstheme="minorHAnsi"/>
                <w:b/>
                <w:bCs/>
                <w:sz w:val="22"/>
                <w:szCs w:val="22"/>
              </w:rPr>
              <w:lastRenderedPageBreak/>
              <w:t>Adult Beneficiaries (21 years of age or older):</w:t>
            </w:r>
          </w:p>
          <w:p w14:paraId="5057AC4F" w14:textId="07724C60" w:rsidR="009612F7" w:rsidRPr="00175784" w:rsidRDefault="009612F7" w:rsidP="009612F7">
            <w:pPr>
              <w:pStyle w:val="BodyText"/>
              <w:numPr>
                <w:ilvl w:val="0"/>
                <w:numId w:val="22"/>
              </w:numPr>
              <w:ind w:right="707"/>
              <w:rPr>
                <w:rFonts w:asciiTheme="minorHAnsi" w:hAnsiTheme="minorHAnsi" w:cstheme="minorHAnsi"/>
                <w:sz w:val="22"/>
                <w:szCs w:val="22"/>
              </w:rPr>
            </w:pPr>
            <w:r w:rsidRPr="00175784">
              <w:rPr>
                <w:rFonts w:asciiTheme="minorHAnsi" w:hAnsiTheme="minorHAnsi" w:cstheme="minorHAnsi"/>
                <w:sz w:val="22"/>
                <w:szCs w:val="22"/>
              </w:rPr>
              <w:t xml:space="preserve">ASAM Assessment </w:t>
            </w:r>
            <w:r w:rsidR="0041114F">
              <w:rPr>
                <w:rFonts w:asciiTheme="minorHAnsi" w:hAnsiTheme="minorHAnsi" w:cstheme="minorHAnsi"/>
                <w:sz w:val="22"/>
                <w:szCs w:val="22"/>
              </w:rPr>
              <w:t xml:space="preserve">within 30 days </w:t>
            </w:r>
          </w:p>
          <w:p w14:paraId="74BE5D7D" w14:textId="77777777" w:rsidR="00C45236" w:rsidRDefault="00C45236" w:rsidP="009612F7">
            <w:pPr>
              <w:pStyle w:val="BodyText"/>
              <w:ind w:left="374" w:right="707"/>
              <w:rPr>
                <w:rFonts w:asciiTheme="minorHAnsi" w:hAnsiTheme="minorHAnsi" w:cstheme="minorHAnsi"/>
                <w:sz w:val="22"/>
                <w:szCs w:val="22"/>
              </w:rPr>
            </w:pPr>
          </w:p>
          <w:p w14:paraId="40C16179" w14:textId="77777777" w:rsidR="0041114F" w:rsidRDefault="0041114F" w:rsidP="009612F7">
            <w:pPr>
              <w:pStyle w:val="BodyText"/>
              <w:ind w:left="374" w:right="707"/>
              <w:rPr>
                <w:rFonts w:asciiTheme="minorHAnsi" w:hAnsiTheme="minorHAnsi" w:cstheme="minorHAnsi"/>
                <w:sz w:val="22"/>
                <w:szCs w:val="22"/>
              </w:rPr>
            </w:pPr>
          </w:p>
          <w:p w14:paraId="55C54682" w14:textId="498C4AAC" w:rsidR="0041114F" w:rsidRPr="00175784" w:rsidRDefault="0041114F" w:rsidP="0041114F">
            <w:pPr>
              <w:pStyle w:val="BodyText"/>
              <w:ind w:right="707"/>
              <w:rPr>
                <w:rFonts w:asciiTheme="minorHAnsi" w:hAnsiTheme="minorHAnsi" w:cstheme="minorHAnsi"/>
                <w:b/>
                <w:bCs/>
                <w:sz w:val="22"/>
                <w:szCs w:val="22"/>
              </w:rPr>
            </w:pPr>
            <w:r w:rsidRPr="00175784">
              <w:rPr>
                <w:rFonts w:asciiTheme="minorHAnsi" w:hAnsiTheme="minorHAnsi" w:cstheme="minorHAnsi"/>
                <w:b/>
                <w:bCs/>
                <w:sz w:val="22"/>
                <w:szCs w:val="22"/>
              </w:rPr>
              <w:t>Beneficiaries under 21 years of age</w:t>
            </w:r>
            <w:r>
              <w:rPr>
                <w:rFonts w:asciiTheme="minorHAnsi" w:hAnsiTheme="minorHAnsi" w:cstheme="minorHAnsi"/>
                <w:b/>
                <w:bCs/>
                <w:sz w:val="22"/>
                <w:szCs w:val="22"/>
              </w:rPr>
              <w:t xml:space="preserve"> or homeless</w:t>
            </w:r>
            <w:r w:rsidRPr="00175784">
              <w:rPr>
                <w:rFonts w:asciiTheme="minorHAnsi" w:hAnsiTheme="minorHAnsi" w:cstheme="minorHAnsi"/>
                <w:b/>
                <w:bCs/>
                <w:sz w:val="22"/>
                <w:szCs w:val="22"/>
              </w:rPr>
              <w:t xml:space="preserve">: </w:t>
            </w:r>
          </w:p>
          <w:p w14:paraId="79267309" w14:textId="5CABB5D8" w:rsidR="0041114F" w:rsidRPr="00175784" w:rsidRDefault="0041114F" w:rsidP="0041114F">
            <w:pPr>
              <w:pStyle w:val="BodyText"/>
              <w:numPr>
                <w:ilvl w:val="0"/>
                <w:numId w:val="22"/>
              </w:numPr>
              <w:ind w:right="707"/>
              <w:rPr>
                <w:rFonts w:asciiTheme="minorHAnsi" w:hAnsiTheme="minorHAnsi" w:cstheme="minorHAnsi"/>
                <w:sz w:val="22"/>
                <w:szCs w:val="22"/>
              </w:rPr>
            </w:pPr>
            <w:r w:rsidRPr="00175784">
              <w:rPr>
                <w:rFonts w:asciiTheme="minorHAnsi" w:hAnsiTheme="minorHAnsi" w:cstheme="minorHAnsi"/>
                <w:sz w:val="22"/>
                <w:szCs w:val="22"/>
              </w:rPr>
              <w:t xml:space="preserve">ASAM Assessment </w:t>
            </w:r>
            <w:r>
              <w:rPr>
                <w:rFonts w:asciiTheme="minorHAnsi" w:hAnsiTheme="minorHAnsi" w:cstheme="minorHAnsi"/>
                <w:sz w:val="22"/>
                <w:szCs w:val="22"/>
              </w:rPr>
              <w:t xml:space="preserve">within 60 days </w:t>
            </w:r>
          </w:p>
          <w:p w14:paraId="507D1D9C" w14:textId="461578A0" w:rsidR="0041114F" w:rsidRPr="00175784" w:rsidRDefault="0041114F" w:rsidP="009612F7">
            <w:pPr>
              <w:pStyle w:val="BodyText"/>
              <w:ind w:left="374" w:right="707"/>
              <w:rPr>
                <w:rFonts w:asciiTheme="minorHAnsi" w:hAnsiTheme="minorHAnsi" w:cstheme="minorHAnsi"/>
                <w:sz w:val="22"/>
                <w:szCs w:val="22"/>
              </w:rPr>
            </w:pPr>
          </w:p>
        </w:tc>
      </w:tr>
      <w:tr w:rsidR="009612F7" w:rsidRPr="009612F7" w14:paraId="55AC004F" w14:textId="77777777" w:rsidTr="009612F7">
        <w:tc>
          <w:tcPr>
            <w:tcW w:w="14220" w:type="dxa"/>
            <w:gridSpan w:val="3"/>
            <w:shd w:val="clear" w:color="auto" w:fill="FFE599" w:themeFill="accent4" w:themeFillTint="66"/>
          </w:tcPr>
          <w:p w14:paraId="4954CF92" w14:textId="43FC16E4" w:rsidR="009612F7" w:rsidRPr="009612F7" w:rsidRDefault="009612F7" w:rsidP="009612F7">
            <w:pPr>
              <w:jc w:val="center"/>
              <w:rPr>
                <w:b/>
                <w:sz w:val="28"/>
                <w:szCs w:val="28"/>
              </w:rPr>
            </w:pPr>
            <w:r w:rsidRPr="009612F7">
              <w:rPr>
                <w:rFonts w:cstheme="minorHAnsi"/>
                <w:b/>
                <w:bCs/>
                <w:sz w:val="28"/>
                <w:szCs w:val="28"/>
              </w:rPr>
              <w:t>Problem List</w:t>
            </w:r>
          </w:p>
        </w:tc>
      </w:tr>
      <w:tr w:rsidR="00175784" w:rsidRPr="00175784" w14:paraId="7E3568A4" w14:textId="77777777" w:rsidTr="00175784">
        <w:tc>
          <w:tcPr>
            <w:tcW w:w="14220" w:type="dxa"/>
            <w:gridSpan w:val="3"/>
            <w:shd w:val="clear" w:color="auto" w:fill="C5E0B3" w:themeFill="accent6" w:themeFillTint="66"/>
          </w:tcPr>
          <w:p w14:paraId="4C79F83F" w14:textId="35CC9506" w:rsidR="00175784" w:rsidRPr="00175784" w:rsidRDefault="00175784" w:rsidP="00175784">
            <w:pPr>
              <w:jc w:val="center"/>
              <w:rPr>
                <w:b/>
                <w:sz w:val="24"/>
                <w:szCs w:val="24"/>
              </w:rPr>
            </w:pPr>
            <w:r w:rsidRPr="00175784">
              <w:rPr>
                <w:b/>
                <w:sz w:val="24"/>
                <w:szCs w:val="24"/>
              </w:rPr>
              <w:t>SMHS and DMC-ODS</w:t>
            </w:r>
          </w:p>
        </w:tc>
      </w:tr>
      <w:tr w:rsidR="00175784" w:rsidRPr="00FC78D2" w14:paraId="184663C2" w14:textId="77777777" w:rsidTr="00B0637E">
        <w:tc>
          <w:tcPr>
            <w:tcW w:w="14220" w:type="dxa"/>
            <w:gridSpan w:val="3"/>
          </w:tcPr>
          <w:p w14:paraId="67B35CBD" w14:textId="56C3347D" w:rsidR="00175784" w:rsidRPr="00175784" w:rsidRDefault="00175784" w:rsidP="00B0637E">
            <w:pPr>
              <w:pStyle w:val="ListParagraph"/>
              <w:numPr>
                <w:ilvl w:val="0"/>
                <w:numId w:val="24"/>
              </w:numPr>
              <w:ind w:left="360"/>
              <w:rPr>
                <w:sz w:val="20"/>
                <w:szCs w:val="20"/>
              </w:rPr>
            </w:pPr>
            <w:r>
              <w:t xml:space="preserve">The problem list is a list of symptoms, conditions, diagnoses, and/or risk factors identified through assessment, psychiatric diagnostic evaluation, crisis encounters, or other types of service encounters. </w:t>
            </w:r>
          </w:p>
          <w:p w14:paraId="30E1E091" w14:textId="77777777" w:rsidR="00175784" w:rsidRPr="00175784" w:rsidRDefault="00175784" w:rsidP="00B0637E">
            <w:pPr>
              <w:pStyle w:val="ListParagraph"/>
              <w:numPr>
                <w:ilvl w:val="0"/>
                <w:numId w:val="24"/>
              </w:numPr>
              <w:ind w:left="360"/>
              <w:rPr>
                <w:sz w:val="20"/>
                <w:szCs w:val="20"/>
              </w:rPr>
            </w:pPr>
            <w:r>
              <w:t xml:space="preserve">A problem identified during a service encounter (e.g., crisis intervention) may be addressed by the service provider (within their scope of practice) during that service encounter, and subsequently added to the problem list. </w:t>
            </w:r>
          </w:p>
          <w:p w14:paraId="03E24290" w14:textId="77777777" w:rsidR="00175784" w:rsidRPr="00175784" w:rsidRDefault="00175784" w:rsidP="00B0637E">
            <w:pPr>
              <w:pStyle w:val="ListParagraph"/>
              <w:numPr>
                <w:ilvl w:val="0"/>
                <w:numId w:val="24"/>
              </w:numPr>
              <w:ind w:left="360"/>
              <w:rPr>
                <w:sz w:val="20"/>
                <w:szCs w:val="20"/>
              </w:rPr>
            </w:pPr>
            <w:r>
              <w:t xml:space="preserve">The problem list shall be updated on an ongoing basis to reflect the current presentation of the beneficiary. </w:t>
            </w:r>
          </w:p>
          <w:p w14:paraId="23D4F49F" w14:textId="77777777" w:rsidR="00175784" w:rsidRPr="00175784" w:rsidRDefault="00175784" w:rsidP="00B0637E">
            <w:pPr>
              <w:pStyle w:val="ListParagraph"/>
              <w:numPr>
                <w:ilvl w:val="0"/>
                <w:numId w:val="24"/>
              </w:numPr>
              <w:ind w:left="360"/>
              <w:rPr>
                <w:sz w:val="20"/>
                <w:szCs w:val="20"/>
              </w:rPr>
            </w:pPr>
            <w:r>
              <w:t xml:space="preserve">The problem list shall include, but is not limited to, the following: </w:t>
            </w:r>
          </w:p>
          <w:p w14:paraId="49EA3748" w14:textId="77777777" w:rsidR="00175784" w:rsidRPr="00175784" w:rsidRDefault="00175784" w:rsidP="00175784">
            <w:pPr>
              <w:pStyle w:val="ListParagraph"/>
              <w:numPr>
                <w:ilvl w:val="1"/>
                <w:numId w:val="24"/>
              </w:numPr>
              <w:ind w:left="648"/>
              <w:rPr>
                <w:sz w:val="20"/>
                <w:szCs w:val="20"/>
              </w:rPr>
            </w:pPr>
            <w:r>
              <w:t xml:space="preserve">Diagnoses identified by a provider acting within their scope of practice, if any. </w:t>
            </w:r>
          </w:p>
          <w:p w14:paraId="2570A2CE" w14:textId="77777777" w:rsidR="00175784" w:rsidRPr="00175784" w:rsidRDefault="00175784" w:rsidP="00175784">
            <w:pPr>
              <w:pStyle w:val="ListParagraph"/>
              <w:numPr>
                <w:ilvl w:val="1"/>
                <w:numId w:val="24"/>
              </w:numPr>
              <w:ind w:left="648"/>
              <w:rPr>
                <w:sz w:val="20"/>
                <w:szCs w:val="20"/>
              </w:rPr>
            </w:pPr>
            <w:r>
              <w:t xml:space="preserve">Diagnosis-specific specifiers from the current DSM shall be included with the diagnosis, when applicable. </w:t>
            </w:r>
          </w:p>
          <w:p w14:paraId="43503EBB" w14:textId="77777777" w:rsidR="00175784" w:rsidRPr="00175784" w:rsidRDefault="00175784" w:rsidP="00175784">
            <w:pPr>
              <w:pStyle w:val="ListParagraph"/>
              <w:numPr>
                <w:ilvl w:val="1"/>
                <w:numId w:val="24"/>
              </w:numPr>
              <w:ind w:left="648"/>
              <w:rPr>
                <w:sz w:val="20"/>
                <w:szCs w:val="20"/>
              </w:rPr>
            </w:pPr>
            <w:r>
              <w:t xml:space="preserve">Problems identified by a provider acting within their scope of practice, if any. </w:t>
            </w:r>
          </w:p>
          <w:p w14:paraId="0D290964" w14:textId="77777777" w:rsidR="00175784" w:rsidRPr="00175784" w:rsidRDefault="00175784" w:rsidP="00175784">
            <w:pPr>
              <w:pStyle w:val="ListParagraph"/>
              <w:numPr>
                <w:ilvl w:val="1"/>
                <w:numId w:val="24"/>
              </w:numPr>
              <w:ind w:left="648"/>
              <w:rPr>
                <w:sz w:val="20"/>
                <w:szCs w:val="20"/>
              </w:rPr>
            </w:pPr>
            <w:r>
              <w:t xml:space="preserve">Problems or illnesses identified by the beneficiary and/or significant support person, if any. </w:t>
            </w:r>
          </w:p>
          <w:p w14:paraId="619D7A26" w14:textId="77777777" w:rsidR="00175784" w:rsidRPr="00175784" w:rsidRDefault="00175784" w:rsidP="00175784">
            <w:pPr>
              <w:pStyle w:val="ListParagraph"/>
              <w:numPr>
                <w:ilvl w:val="1"/>
                <w:numId w:val="24"/>
              </w:numPr>
              <w:ind w:left="648"/>
              <w:rPr>
                <w:sz w:val="20"/>
                <w:szCs w:val="20"/>
              </w:rPr>
            </w:pPr>
            <w:r>
              <w:t xml:space="preserve">The name and title of the provider that identified, added, or removed the problem, and the date the problem was identified, added, or removed. </w:t>
            </w:r>
          </w:p>
          <w:p w14:paraId="5DCC3940" w14:textId="77777777" w:rsidR="00175784" w:rsidRPr="00175784" w:rsidRDefault="00175784" w:rsidP="00175784">
            <w:pPr>
              <w:pStyle w:val="ListParagraph"/>
              <w:numPr>
                <w:ilvl w:val="0"/>
                <w:numId w:val="24"/>
              </w:numPr>
              <w:ind w:left="360"/>
              <w:rPr>
                <w:sz w:val="20"/>
                <w:szCs w:val="20"/>
              </w:rPr>
            </w:pPr>
            <w:r>
              <w:t xml:space="preserve">Providers shall add to or remove problems from the problem list when there is a relevant change to a beneficiary’s condition. </w:t>
            </w:r>
          </w:p>
          <w:p w14:paraId="0F866559" w14:textId="583B4128" w:rsidR="00590666" w:rsidRPr="00B51585" w:rsidRDefault="00175784" w:rsidP="00B51585">
            <w:pPr>
              <w:pStyle w:val="ListParagraph"/>
              <w:numPr>
                <w:ilvl w:val="0"/>
                <w:numId w:val="24"/>
              </w:numPr>
              <w:ind w:left="360"/>
              <w:rPr>
                <w:sz w:val="20"/>
                <w:szCs w:val="20"/>
              </w:rPr>
            </w:pPr>
            <w:r>
              <w:lastRenderedPageBreak/>
              <w:t>DHCS does not require the problem list to be updated within a specific timeframe or have a requirement about how frequently the problem list should be updated after a problem has initially been added. However, providers shall update the problem list within a reasonable time and in accordance with generally accepted standards of practice.</w:t>
            </w:r>
          </w:p>
        </w:tc>
      </w:tr>
      <w:tr w:rsidR="00175784" w:rsidRPr="00175784" w14:paraId="1711AE02" w14:textId="77777777" w:rsidTr="00175784">
        <w:tc>
          <w:tcPr>
            <w:tcW w:w="14220" w:type="dxa"/>
            <w:gridSpan w:val="3"/>
            <w:shd w:val="clear" w:color="auto" w:fill="FFE599" w:themeFill="accent4" w:themeFillTint="66"/>
          </w:tcPr>
          <w:p w14:paraId="374CC440" w14:textId="77A9354F" w:rsidR="00175784" w:rsidRPr="00175784" w:rsidRDefault="00175784" w:rsidP="00175784">
            <w:pPr>
              <w:jc w:val="center"/>
              <w:rPr>
                <w:b/>
                <w:sz w:val="28"/>
                <w:szCs w:val="28"/>
              </w:rPr>
            </w:pPr>
            <w:r w:rsidRPr="00175784">
              <w:rPr>
                <w:rFonts w:cstheme="minorHAnsi"/>
                <w:b/>
                <w:bCs/>
                <w:sz w:val="28"/>
                <w:szCs w:val="28"/>
              </w:rPr>
              <w:lastRenderedPageBreak/>
              <w:t>Progress Notes</w:t>
            </w:r>
          </w:p>
        </w:tc>
      </w:tr>
      <w:tr w:rsidR="00E74C48" w:rsidRPr="00175784" w14:paraId="13EFA25E" w14:textId="77777777" w:rsidTr="00E74C48">
        <w:tc>
          <w:tcPr>
            <w:tcW w:w="14220" w:type="dxa"/>
            <w:gridSpan w:val="3"/>
            <w:shd w:val="clear" w:color="auto" w:fill="C5E0B3" w:themeFill="accent6" w:themeFillTint="66"/>
          </w:tcPr>
          <w:p w14:paraId="737CC071" w14:textId="77777777" w:rsidR="00E74C48" w:rsidRPr="00175784" w:rsidRDefault="00E74C48" w:rsidP="00E74C48">
            <w:pPr>
              <w:jc w:val="center"/>
              <w:rPr>
                <w:b/>
                <w:sz w:val="24"/>
                <w:szCs w:val="24"/>
              </w:rPr>
            </w:pPr>
            <w:r w:rsidRPr="00175784">
              <w:rPr>
                <w:b/>
                <w:sz w:val="24"/>
                <w:szCs w:val="24"/>
              </w:rPr>
              <w:t>SMHS and DMC-ODS</w:t>
            </w:r>
          </w:p>
        </w:tc>
      </w:tr>
      <w:tr w:rsidR="0041114F" w:rsidRPr="00AE691E" w14:paraId="771C2A51" w14:textId="77777777" w:rsidTr="0041114F">
        <w:tc>
          <w:tcPr>
            <w:tcW w:w="14220" w:type="dxa"/>
            <w:gridSpan w:val="3"/>
          </w:tcPr>
          <w:p w14:paraId="242EF40D" w14:textId="77777777" w:rsidR="00DE6F6F" w:rsidRPr="00DE6F6F" w:rsidRDefault="0041114F" w:rsidP="00DE6F6F">
            <w:pPr>
              <w:pStyle w:val="ListParagraph"/>
              <w:numPr>
                <w:ilvl w:val="0"/>
                <w:numId w:val="25"/>
              </w:numPr>
              <w:rPr>
                <w:sz w:val="20"/>
                <w:szCs w:val="20"/>
              </w:rPr>
            </w:pPr>
            <w:r>
              <w:t xml:space="preserve">Each progress note shall provide sufficient detail to support the service code selected for the service type as indicated by the service code description. </w:t>
            </w:r>
          </w:p>
          <w:p w14:paraId="59827010" w14:textId="77777777" w:rsidR="00DE6F6F" w:rsidRPr="00DE6F6F" w:rsidRDefault="0041114F" w:rsidP="00DE6F6F">
            <w:pPr>
              <w:pStyle w:val="ListParagraph"/>
              <w:numPr>
                <w:ilvl w:val="0"/>
                <w:numId w:val="25"/>
              </w:numPr>
              <w:rPr>
                <w:sz w:val="20"/>
                <w:szCs w:val="20"/>
              </w:rPr>
            </w:pPr>
            <w:r>
              <w:t xml:space="preserve">Progress notes shall include: </w:t>
            </w:r>
          </w:p>
          <w:p w14:paraId="12218AE8" w14:textId="77777777" w:rsidR="00DE6F6F" w:rsidRPr="00DE6F6F" w:rsidRDefault="0041114F" w:rsidP="00DE6F6F">
            <w:pPr>
              <w:pStyle w:val="ListParagraph"/>
              <w:numPr>
                <w:ilvl w:val="1"/>
                <w:numId w:val="25"/>
              </w:numPr>
              <w:ind w:left="648"/>
              <w:rPr>
                <w:sz w:val="20"/>
                <w:szCs w:val="20"/>
              </w:rPr>
            </w:pPr>
            <w:r>
              <w:t xml:space="preserve">The type of service rendered. </w:t>
            </w:r>
          </w:p>
          <w:p w14:paraId="36CD439A" w14:textId="77777777" w:rsidR="00DE6F6F" w:rsidRPr="00DE6F6F" w:rsidRDefault="0041114F" w:rsidP="00DE6F6F">
            <w:pPr>
              <w:pStyle w:val="ListParagraph"/>
              <w:numPr>
                <w:ilvl w:val="1"/>
                <w:numId w:val="25"/>
              </w:numPr>
              <w:ind w:left="648"/>
              <w:rPr>
                <w:sz w:val="20"/>
                <w:szCs w:val="20"/>
              </w:rPr>
            </w:pPr>
            <w:r>
              <w:t xml:space="preserve">A narrative describing the service, including how the service addressed the beneficiary’s behavioral health need (e.g., symptom, condition, diagnosis, and/or risk factors). </w:t>
            </w:r>
          </w:p>
          <w:p w14:paraId="6E83F9AC" w14:textId="77777777" w:rsidR="00DE6F6F" w:rsidRPr="00DE6F6F" w:rsidRDefault="0041114F" w:rsidP="00DE6F6F">
            <w:pPr>
              <w:pStyle w:val="ListParagraph"/>
              <w:numPr>
                <w:ilvl w:val="1"/>
                <w:numId w:val="25"/>
              </w:numPr>
              <w:ind w:left="648"/>
              <w:rPr>
                <w:sz w:val="20"/>
                <w:szCs w:val="20"/>
              </w:rPr>
            </w:pPr>
            <w:r>
              <w:t xml:space="preserve">The date that the service was provided to the beneficiary.  </w:t>
            </w:r>
          </w:p>
          <w:p w14:paraId="1983EEDF" w14:textId="77777777" w:rsidR="00DE6F6F" w:rsidRPr="00DE6F6F" w:rsidRDefault="0041114F" w:rsidP="00DE6F6F">
            <w:pPr>
              <w:pStyle w:val="ListParagraph"/>
              <w:numPr>
                <w:ilvl w:val="1"/>
                <w:numId w:val="25"/>
              </w:numPr>
              <w:ind w:left="648"/>
              <w:rPr>
                <w:sz w:val="20"/>
                <w:szCs w:val="20"/>
              </w:rPr>
            </w:pPr>
            <w:r>
              <w:t xml:space="preserve">Duration of the service, including travel and documentation time. </w:t>
            </w:r>
          </w:p>
          <w:p w14:paraId="56B2664B" w14:textId="77777777" w:rsidR="00DE6F6F" w:rsidRPr="00DE6F6F" w:rsidRDefault="0041114F" w:rsidP="00DE6F6F">
            <w:pPr>
              <w:pStyle w:val="ListParagraph"/>
              <w:numPr>
                <w:ilvl w:val="1"/>
                <w:numId w:val="25"/>
              </w:numPr>
              <w:ind w:left="648"/>
              <w:rPr>
                <w:sz w:val="20"/>
                <w:szCs w:val="20"/>
              </w:rPr>
            </w:pPr>
            <w:r>
              <w:t xml:space="preserve">Location of the beneficiary at the time of receiving the service. </w:t>
            </w:r>
          </w:p>
          <w:p w14:paraId="04DBA43E" w14:textId="77777777" w:rsidR="00DE6F6F" w:rsidRPr="00DE6F6F" w:rsidRDefault="0041114F" w:rsidP="00DE6F6F">
            <w:pPr>
              <w:pStyle w:val="ListParagraph"/>
              <w:numPr>
                <w:ilvl w:val="1"/>
                <w:numId w:val="25"/>
              </w:numPr>
              <w:ind w:left="648"/>
              <w:rPr>
                <w:sz w:val="20"/>
                <w:szCs w:val="20"/>
              </w:rPr>
            </w:pPr>
            <w:r>
              <w:t xml:space="preserve">A typed or legibly printed name, signature of the service provider and date of signature. </w:t>
            </w:r>
          </w:p>
          <w:p w14:paraId="1635BB64" w14:textId="655202AF" w:rsidR="00DE6F6F" w:rsidRPr="00C52204" w:rsidRDefault="0041114F" w:rsidP="00DE6F6F">
            <w:pPr>
              <w:pStyle w:val="ListParagraph"/>
              <w:numPr>
                <w:ilvl w:val="1"/>
                <w:numId w:val="25"/>
              </w:numPr>
              <w:ind w:left="648"/>
              <w:rPr>
                <w:sz w:val="20"/>
                <w:szCs w:val="20"/>
              </w:rPr>
            </w:pPr>
            <w:r w:rsidRPr="00C52204">
              <w:t>ICD 10 code</w:t>
            </w:r>
            <w:r w:rsidR="00E13349" w:rsidRPr="00C52204">
              <w:t>.</w:t>
            </w:r>
          </w:p>
          <w:p w14:paraId="49983710" w14:textId="77777777" w:rsidR="00DE6F6F" w:rsidRPr="00DE6F6F" w:rsidRDefault="0041114F" w:rsidP="00DE6F6F">
            <w:pPr>
              <w:pStyle w:val="ListParagraph"/>
              <w:numPr>
                <w:ilvl w:val="1"/>
                <w:numId w:val="25"/>
              </w:numPr>
              <w:ind w:left="648"/>
              <w:rPr>
                <w:sz w:val="20"/>
                <w:szCs w:val="20"/>
              </w:rPr>
            </w:pPr>
            <w:r>
              <w:t xml:space="preserve">Current Procedural Terminology (CPT) or Healthcare Common Procedure Coding System (HCPCS) code. </w:t>
            </w:r>
          </w:p>
          <w:p w14:paraId="0B4CDDB2" w14:textId="77777777" w:rsidR="00DE6F6F" w:rsidRPr="00DE6F6F" w:rsidRDefault="0041114F" w:rsidP="00DE6F6F">
            <w:pPr>
              <w:pStyle w:val="ListParagraph"/>
              <w:numPr>
                <w:ilvl w:val="1"/>
                <w:numId w:val="25"/>
              </w:numPr>
              <w:ind w:left="648"/>
              <w:rPr>
                <w:sz w:val="20"/>
                <w:szCs w:val="20"/>
              </w:rPr>
            </w:pPr>
            <w:r>
              <w:t xml:space="preserve">Next steps including, but not limited to, planned action steps by the provider or by the beneficiary, collaboration with the beneficiary, collaboration with other provider(s) and any update to the problem list as appropriate. </w:t>
            </w:r>
          </w:p>
          <w:p w14:paraId="56C046B1" w14:textId="77777777" w:rsidR="00DE6F6F" w:rsidRPr="00DE6F6F" w:rsidRDefault="0041114F" w:rsidP="00DE6F6F">
            <w:pPr>
              <w:pStyle w:val="ListParagraph"/>
              <w:numPr>
                <w:ilvl w:val="0"/>
                <w:numId w:val="25"/>
              </w:numPr>
              <w:rPr>
                <w:sz w:val="20"/>
                <w:szCs w:val="20"/>
              </w:rPr>
            </w:pPr>
            <w:r>
              <w:t xml:space="preserve">Providers shall complete progress notes within </w:t>
            </w:r>
            <w:r w:rsidRPr="00DE6F6F">
              <w:rPr>
                <w:u w:val="single"/>
              </w:rPr>
              <w:t>3 business days</w:t>
            </w:r>
            <w:r>
              <w:t xml:space="preserve"> of providing a service, with the exception of notes for crisis services, which shall be completed within 24 hours. </w:t>
            </w:r>
          </w:p>
          <w:p w14:paraId="2FE2A8E7" w14:textId="77777777" w:rsidR="00DE6F6F" w:rsidRPr="00DE6F6F" w:rsidRDefault="0041114F" w:rsidP="00DE6F6F">
            <w:pPr>
              <w:pStyle w:val="ListParagraph"/>
              <w:numPr>
                <w:ilvl w:val="0"/>
                <w:numId w:val="25"/>
              </w:numPr>
              <w:rPr>
                <w:sz w:val="20"/>
                <w:szCs w:val="20"/>
              </w:rPr>
            </w:pPr>
            <w:r>
              <w:t xml:space="preserve">Providers shall complete a daily progress note for services that are billed on a daily basis, such as residential and day treatment services (including therapeutic foster care, day treatment intensive, and day rehabilitation). Weekly summaries will no longer be required for day rehabilitation and day treatment intensive. </w:t>
            </w:r>
          </w:p>
          <w:p w14:paraId="5152F8B5" w14:textId="461662FA" w:rsidR="0041114F" w:rsidRPr="00DE6F6F" w:rsidRDefault="0041114F" w:rsidP="00DE6F6F">
            <w:pPr>
              <w:pStyle w:val="ListParagraph"/>
              <w:numPr>
                <w:ilvl w:val="0"/>
                <w:numId w:val="25"/>
              </w:numPr>
              <w:rPr>
                <w:sz w:val="20"/>
                <w:szCs w:val="20"/>
              </w:rPr>
            </w:pPr>
            <w:r>
              <w:t>When a group service is rendered, a list of participants is required to be documented and maintained by the plan or provider. Should more than one provider render a group service, one progress note may be completed for a group session and signed by one provider. While one progress note with one provider signature is acceptable for a group activity where multiple providers are involved, the progress note shall clearly document the specific involvement and the specific amount of time of involvement of each provider of the group activity, including documentation time. All other progress note requirements listed above shall also be met.</w:t>
            </w:r>
          </w:p>
        </w:tc>
      </w:tr>
      <w:tr w:rsidR="00DE6F6F" w:rsidRPr="00175784" w14:paraId="0F4575FE" w14:textId="77777777" w:rsidTr="00A23B62">
        <w:tc>
          <w:tcPr>
            <w:tcW w:w="14220" w:type="dxa"/>
            <w:gridSpan w:val="3"/>
            <w:shd w:val="clear" w:color="auto" w:fill="FFE599" w:themeFill="accent4" w:themeFillTint="66"/>
          </w:tcPr>
          <w:p w14:paraId="743779B8" w14:textId="6BD3DFB6" w:rsidR="00DE6F6F" w:rsidRPr="00175784" w:rsidRDefault="00DE6F6F" w:rsidP="00A23B62">
            <w:pPr>
              <w:jc w:val="center"/>
              <w:rPr>
                <w:b/>
                <w:sz w:val="28"/>
                <w:szCs w:val="28"/>
              </w:rPr>
            </w:pPr>
            <w:r>
              <w:rPr>
                <w:rFonts w:cstheme="minorHAnsi"/>
                <w:b/>
                <w:bCs/>
                <w:sz w:val="28"/>
                <w:szCs w:val="28"/>
              </w:rPr>
              <w:t>Treatment and Care Plans</w:t>
            </w:r>
          </w:p>
        </w:tc>
      </w:tr>
      <w:tr w:rsidR="00590666" w:rsidRPr="00175784" w14:paraId="229983C1" w14:textId="77777777" w:rsidTr="0068161C">
        <w:tc>
          <w:tcPr>
            <w:tcW w:w="14220" w:type="dxa"/>
            <w:gridSpan w:val="3"/>
            <w:shd w:val="clear" w:color="auto" w:fill="C5E0B3" w:themeFill="accent6" w:themeFillTint="66"/>
          </w:tcPr>
          <w:p w14:paraId="7DB1A1CF" w14:textId="77777777" w:rsidR="00590666" w:rsidRPr="00175784" w:rsidRDefault="00590666" w:rsidP="0068161C">
            <w:pPr>
              <w:jc w:val="center"/>
              <w:rPr>
                <w:b/>
                <w:sz w:val="24"/>
                <w:szCs w:val="24"/>
              </w:rPr>
            </w:pPr>
            <w:r w:rsidRPr="00175784">
              <w:rPr>
                <w:b/>
                <w:sz w:val="24"/>
                <w:szCs w:val="24"/>
              </w:rPr>
              <w:t>SMHS and DMC-ODS</w:t>
            </w:r>
          </w:p>
        </w:tc>
      </w:tr>
      <w:tr w:rsidR="00DE6F6F" w:rsidRPr="00AE691E" w14:paraId="3D5A3662" w14:textId="77777777" w:rsidTr="00A23B62">
        <w:tc>
          <w:tcPr>
            <w:tcW w:w="14220" w:type="dxa"/>
            <w:gridSpan w:val="3"/>
          </w:tcPr>
          <w:p w14:paraId="4A33A1C1" w14:textId="53657D6F" w:rsidR="00A23B62" w:rsidRDefault="00DE6F6F" w:rsidP="00A23B62">
            <w:pPr>
              <w:pStyle w:val="ListParagraph"/>
              <w:numPr>
                <w:ilvl w:val="0"/>
                <w:numId w:val="26"/>
              </w:numPr>
            </w:pPr>
            <w:r>
              <w:t>DHCS removed client plan requirements from SMHS and treatment plan requirements from DMC and DMC-ODS, with the exception of</w:t>
            </w:r>
            <w:r w:rsidR="00A23B62">
              <w:t xml:space="preserve">: </w:t>
            </w:r>
          </w:p>
          <w:p w14:paraId="0D98AA0E" w14:textId="7D6D20EB" w:rsidR="00A23B62" w:rsidRDefault="00A23B62" w:rsidP="00A23B62">
            <w:pPr>
              <w:pStyle w:val="ListParagraph"/>
              <w:numPr>
                <w:ilvl w:val="1"/>
                <w:numId w:val="26"/>
              </w:numPr>
              <w:ind w:left="648"/>
            </w:pPr>
            <w:r>
              <w:lastRenderedPageBreak/>
              <w:t xml:space="preserve">Targeted Case Management (TCM) </w:t>
            </w:r>
          </w:p>
          <w:p w14:paraId="5E94CC08" w14:textId="64D4E8F8" w:rsidR="00A23B62" w:rsidRDefault="00A23B62" w:rsidP="00A23B62">
            <w:pPr>
              <w:pStyle w:val="ListParagraph"/>
              <w:numPr>
                <w:ilvl w:val="1"/>
                <w:numId w:val="26"/>
              </w:numPr>
              <w:ind w:left="648"/>
            </w:pPr>
            <w:r>
              <w:t xml:space="preserve">Intensive Care Coordination (ICC) </w:t>
            </w:r>
          </w:p>
          <w:p w14:paraId="29E44D6C" w14:textId="64EA5F7C" w:rsidR="009B1080" w:rsidRDefault="009B1080" w:rsidP="00A23B62">
            <w:pPr>
              <w:pStyle w:val="ListParagraph"/>
              <w:numPr>
                <w:ilvl w:val="1"/>
                <w:numId w:val="26"/>
              </w:numPr>
              <w:ind w:left="648"/>
            </w:pPr>
            <w:r>
              <w:t xml:space="preserve">Intensive Home Based Services (IBHS) and Therapeutic Foster Care (TFC) </w:t>
            </w:r>
          </w:p>
          <w:p w14:paraId="0E5E1435" w14:textId="56FA6016" w:rsidR="009B1080" w:rsidRDefault="009B1080" w:rsidP="00A23B62">
            <w:pPr>
              <w:pStyle w:val="ListParagraph"/>
              <w:numPr>
                <w:ilvl w:val="1"/>
                <w:numId w:val="26"/>
              </w:numPr>
              <w:ind w:left="648"/>
            </w:pPr>
            <w:r>
              <w:t>Therapeutic Behavioral Services (TBS)</w:t>
            </w:r>
          </w:p>
          <w:p w14:paraId="5E451EB5" w14:textId="4DA5F5F0" w:rsidR="009B1080" w:rsidRDefault="009B1080" w:rsidP="00A23B62">
            <w:pPr>
              <w:pStyle w:val="ListParagraph"/>
              <w:numPr>
                <w:ilvl w:val="1"/>
                <w:numId w:val="26"/>
              </w:numPr>
              <w:ind w:left="648"/>
            </w:pPr>
            <w:r>
              <w:t>Narcotic Treatment Program (NTP)</w:t>
            </w:r>
          </w:p>
          <w:p w14:paraId="72D8D5FF" w14:textId="648FB4D1" w:rsidR="009B1080" w:rsidRDefault="009B1080" w:rsidP="00A23B62">
            <w:pPr>
              <w:pStyle w:val="ListParagraph"/>
              <w:numPr>
                <w:ilvl w:val="1"/>
                <w:numId w:val="26"/>
              </w:numPr>
              <w:ind w:left="648"/>
            </w:pPr>
            <w:r>
              <w:t>Short-Term Residential Therapeutic Programs (STRTPs)</w:t>
            </w:r>
          </w:p>
          <w:p w14:paraId="7818A4F7" w14:textId="425443E0" w:rsidR="009B1080" w:rsidRDefault="009B1080" w:rsidP="00A23B62">
            <w:pPr>
              <w:pStyle w:val="ListParagraph"/>
              <w:numPr>
                <w:ilvl w:val="1"/>
                <w:numId w:val="26"/>
              </w:numPr>
              <w:ind w:left="648"/>
            </w:pPr>
            <w:r>
              <w:t>Psychiatric Health Facilities (PHF)</w:t>
            </w:r>
          </w:p>
          <w:p w14:paraId="35BCB5A1" w14:textId="48266367" w:rsidR="009B1080" w:rsidRDefault="009B1080" w:rsidP="00A23B62">
            <w:pPr>
              <w:pStyle w:val="ListParagraph"/>
              <w:numPr>
                <w:ilvl w:val="1"/>
                <w:numId w:val="26"/>
              </w:numPr>
              <w:ind w:left="648"/>
            </w:pPr>
            <w:r>
              <w:t>Special Treatment Programs within Skilled Nursing Facilities (STP-SNF)</w:t>
            </w:r>
          </w:p>
          <w:p w14:paraId="03C041E9" w14:textId="25E2553C" w:rsidR="009B1080" w:rsidRDefault="009B1080" w:rsidP="00A23B62">
            <w:pPr>
              <w:pStyle w:val="ListParagraph"/>
              <w:numPr>
                <w:ilvl w:val="1"/>
                <w:numId w:val="26"/>
              </w:numPr>
              <w:ind w:left="648"/>
            </w:pPr>
            <w:r>
              <w:t>Mental Health Rehabilitation Centers (MHRCs)</w:t>
            </w:r>
          </w:p>
          <w:p w14:paraId="2A2BFF69" w14:textId="77777777" w:rsidR="009B1080" w:rsidRDefault="009B1080" w:rsidP="00A23B62">
            <w:pPr>
              <w:pStyle w:val="ListParagraph"/>
              <w:numPr>
                <w:ilvl w:val="1"/>
                <w:numId w:val="26"/>
              </w:numPr>
              <w:ind w:left="648"/>
            </w:pPr>
            <w:r>
              <w:t>A Needs and Service Plan (NSP) is required for services provided to children in Community Treatment Facilities</w:t>
            </w:r>
          </w:p>
          <w:p w14:paraId="18008114" w14:textId="6664895F" w:rsidR="009B1080" w:rsidRDefault="009B1080" w:rsidP="00A23B62">
            <w:pPr>
              <w:pStyle w:val="ListParagraph"/>
              <w:numPr>
                <w:ilvl w:val="1"/>
                <w:numId w:val="26"/>
              </w:numPr>
              <w:ind w:left="648"/>
            </w:pPr>
            <w:r>
              <w:t>A treatment/rehabilitation plan is required for services provided in Social Rehabilitation Programs</w:t>
            </w:r>
          </w:p>
          <w:p w14:paraId="76ECABAC" w14:textId="05FCA328" w:rsidR="009B1080" w:rsidRDefault="009B1080" w:rsidP="00A23B62">
            <w:pPr>
              <w:pStyle w:val="ListParagraph"/>
              <w:numPr>
                <w:ilvl w:val="1"/>
                <w:numId w:val="26"/>
              </w:numPr>
              <w:ind w:left="648"/>
            </w:pPr>
            <w:r>
              <w:t>Peer Support Services</w:t>
            </w:r>
          </w:p>
          <w:p w14:paraId="2EF153B7" w14:textId="098F9F14" w:rsidR="00A23B62" w:rsidRDefault="00A23B62" w:rsidP="00101BD7"/>
          <w:p w14:paraId="285D503F" w14:textId="77777777" w:rsidR="009B1080" w:rsidRPr="009B1080" w:rsidRDefault="009B1080" w:rsidP="009B1080">
            <w:pPr>
              <w:pStyle w:val="ListParagraph"/>
              <w:numPr>
                <w:ilvl w:val="0"/>
                <w:numId w:val="26"/>
              </w:numPr>
              <w:rPr>
                <w:b/>
                <w:sz w:val="20"/>
                <w:szCs w:val="20"/>
              </w:rPr>
            </w:pPr>
            <w:r w:rsidRPr="009B1080">
              <w:rPr>
                <w:b/>
              </w:rPr>
              <w:t>Targeted case management</w:t>
            </w:r>
            <w:r>
              <w:t xml:space="preserve"> services within SMHS require the development (and periodic revision) of a specific care plan that is based on the information collected through the assessment</w:t>
            </w:r>
            <w:r w:rsidR="00DE6F6F">
              <w:t xml:space="preserve">: </w:t>
            </w:r>
          </w:p>
          <w:p w14:paraId="40E0FA8E" w14:textId="77777777" w:rsidR="009B1080" w:rsidRPr="009B1080" w:rsidRDefault="009B1080" w:rsidP="009B1080">
            <w:pPr>
              <w:pStyle w:val="ListParagraph"/>
              <w:numPr>
                <w:ilvl w:val="0"/>
                <w:numId w:val="26"/>
              </w:numPr>
              <w:rPr>
                <w:b/>
                <w:sz w:val="20"/>
                <w:szCs w:val="20"/>
              </w:rPr>
            </w:pPr>
            <w:r>
              <w:t>The TCM Care Plan:</w:t>
            </w:r>
          </w:p>
          <w:p w14:paraId="22FEDE4B" w14:textId="77777777" w:rsidR="009B1080" w:rsidRPr="009B1080" w:rsidRDefault="00DE6F6F" w:rsidP="009B1080">
            <w:pPr>
              <w:pStyle w:val="ListParagraph"/>
              <w:numPr>
                <w:ilvl w:val="1"/>
                <w:numId w:val="26"/>
              </w:numPr>
              <w:ind w:left="648"/>
              <w:rPr>
                <w:b/>
                <w:sz w:val="20"/>
                <w:szCs w:val="20"/>
              </w:rPr>
            </w:pPr>
            <w:r>
              <w:t xml:space="preserve">Specifies the goals, treatment, service activities, and assistance to address the negotiated objectives of the plan and the medical, social, educational and other services needed by the beneficiary; </w:t>
            </w:r>
          </w:p>
          <w:p w14:paraId="6125A0A9" w14:textId="77777777" w:rsidR="009B1080" w:rsidRPr="009B1080" w:rsidRDefault="00DE6F6F" w:rsidP="009B1080">
            <w:pPr>
              <w:pStyle w:val="ListParagraph"/>
              <w:numPr>
                <w:ilvl w:val="1"/>
                <w:numId w:val="26"/>
              </w:numPr>
              <w:ind w:left="648"/>
              <w:rPr>
                <w:b/>
                <w:sz w:val="20"/>
                <w:szCs w:val="20"/>
              </w:rPr>
            </w:pPr>
            <w:r>
              <w:t xml:space="preserve">Includes activities such as ensuring the active participation of the beneficiary, and working with the beneficiary (or the beneficiary’s authorized health care decision maker) and others to develop those goals; </w:t>
            </w:r>
          </w:p>
          <w:p w14:paraId="158781CB" w14:textId="77777777" w:rsidR="009B1080" w:rsidRPr="009B1080" w:rsidRDefault="00DE6F6F" w:rsidP="009B1080">
            <w:pPr>
              <w:pStyle w:val="ListParagraph"/>
              <w:numPr>
                <w:ilvl w:val="1"/>
                <w:numId w:val="26"/>
              </w:numPr>
              <w:ind w:left="648"/>
              <w:rPr>
                <w:b/>
                <w:sz w:val="20"/>
                <w:szCs w:val="20"/>
              </w:rPr>
            </w:pPr>
            <w:r>
              <w:t xml:space="preserve">Identifies a course of action to respond to the assessed needs of the beneficiary; and </w:t>
            </w:r>
          </w:p>
          <w:p w14:paraId="6BB35D4C" w14:textId="77777777" w:rsidR="007B09F9" w:rsidRPr="007B09F9" w:rsidRDefault="00DE6F6F" w:rsidP="009B1080">
            <w:pPr>
              <w:pStyle w:val="ListParagraph"/>
              <w:numPr>
                <w:ilvl w:val="1"/>
                <w:numId w:val="26"/>
              </w:numPr>
              <w:ind w:left="648"/>
              <w:rPr>
                <w:b/>
                <w:sz w:val="20"/>
                <w:szCs w:val="20"/>
              </w:rPr>
            </w:pPr>
            <w:r>
              <w:t xml:space="preserve">Includes development of a transition plan when a beneficiary has achieved the goals of the care plan. </w:t>
            </w:r>
          </w:p>
          <w:p w14:paraId="04809D53" w14:textId="1F0599E0" w:rsidR="009B1080" w:rsidRPr="009B1080" w:rsidRDefault="00C52204" w:rsidP="009B1080">
            <w:pPr>
              <w:pStyle w:val="ListParagraph"/>
              <w:numPr>
                <w:ilvl w:val="1"/>
                <w:numId w:val="26"/>
              </w:numPr>
              <w:ind w:left="648"/>
              <w:rPr>
                <w:b/>
                <w:sz w:val="20"/>
                <w:szCs w:val="20"/>
              </w:rPr>
            </w:pPr>
            <w:r>
              <w:t>The</w:t>
            </w:r>
            <w:r w:rsidR="00DE6F6F">
              <w:t xml:space="preserve"> required elements</w:t>
            </w:r>
            <w:r>
              <w:t xml:space="preserve"> of the TCM Care Plan</w:t>
            </w:r>
            <w:r w:rsidR="00DE6F6F">
              <w:t xml:space="preserve"> </w:t>
            </w:r>
            <w:r w:rsidR="00DE6F6F" w:rsidRPr="0068161C">
              <w:rPr>
                <w:i/>
              </w:rPr>
              <w:t>shall</w:t>
            </w:r>
            <w:r w:rsidR="00DE6F6F">
              <w:t xml:space="preserve"> be provided in a narrative format in the beneficiary’s progress notes. </w:t>
            </w:r>
          </w:p>
          <w:p w14:paraId="4E075691" w14:textId="77777777" w:rsidR="009B1080" w:rsidRDefault="009B1080" w:rsidP="009B1080"/>
          <w:p w14:paraId="05737EFA" w14:textId="77777777" w:rsidR="009B1080" w:rsidRPr="009B1080" w:rsidRDefault="00DE6F6F" w:rsidP="009B1080">
            <w:pPr>
              <w:pStyle w:val="ListParagraph"/>
              <w:numPr>
                <w:ilvl w:val="0"/>
                <w:numId w:val="27"/>
              </w:numPr>
              <w:rPr>
                <w:b/>
                <w:sz w:val="20"/>
                <w:szCs w:val="20"/>
              </w:rPr>
            </w:pPr>
            <w:r w:rsidRPr="009B1080">
              <w:rPr>
                <w:b/>
              </w:rPr>
              <w:t>Peer Support Services</w:t>
            </w:r>
            <w:r>
              <w:t xml:space="preserve"> must be based on an approved plan of care. </w:t>
            </w:r>
          </w:p>
          <w:p w14:paraId="4240EDCE" w14:textId="3ADAF791" w:rsidR="00DE6F6F" w:rsidRPr="009B1080" w:rsidRDefault="00DE6F6F" w:rsidP="009B1080">
            <w:pPr>
              <w:pStyle w:val="ListParagraph"/>
              <w:numPr>
                <w:ilvl w:val="0"/>
                <w:numId w:val="27"/>
              </w:numPr>
              <w:rPr>
                <w:b/>
                <w:sz w:val="20"/>
                <w:szCs w:val="20"/>
              </w:rPr>
            </w:pPr>
            <w:r>
              <w:t xml:space="preserve">The plan of care shall be documented within the progress notes in the beneficiary’s clinical record and approved by any treating provider who can render reimbursable MediCal services. </w:t>
            </w:r>
          </w:p>
        </w:tc>
      </w:tr>
      <w:tr w:rsidR="00590666" w:rsidRPr="00175784" w14:paraId="0FC5FAAE" w14:textId="77777777" w:rsidTr="0068161C">
        <w:tc>
          <w:tcPr>
            <w:tcW w:w="14220" w:type="dxa"/>
            <w:gridSpan w:val="3"/>
            <w:shd w:val="clear" w:color="auto" w:fill="FFE599" w:themeFill="accent4" w:themeFillTint="66"/>
          </w:tcPr>
          <w:p w14:paraId="6356B0B5" w14:textId="5E908F01" w:rsidR="00590666" w:rsidRPr="00175784" w:rsidRDefault="00590666" w:rsidP="0068161C">
            <w:pPr>
              <w:jc w:val="center"/>
              <w:rPr>
                <w:b/>
                <w:sz w:val="28"/>
                <w:szCs w:val="28"/>
              </w:rPr>
            </w:pPr>
            <w:r>
              <w:rPr>
                <w:rFonts w:cstheme="minorHAnsi"/>
                <w:b/>
                <w:bCs/>
                <w:sz w:val="28"/>
                <w:szCs w:val="28"/>
              </w:rPr>
              <w:lastRenderedPageBreak/>
              <w:t>Telehealth Consent</w:t>
            </w:r>
          </w:p>
        </w:tc>
      </w:tr>
      <w:tr w:rsidR="00590666" w:rsidRPr="00175784" w14:paraId="4823FBEC" w14:textId="77777777" w:rsidTr="0068161C">
        <w:tc>
          <w:tcPr>
            <w:tcW w:w="14220" w:type="dxa"/>
            <w:gridSpan w:val="3"/>
            <w:shd w:val="clear" w:color="auto" w:fill="C5E0B3" w:themeFill="accent6" w:themeFillTint="66"/>
          </w:tcPr>
          <w:p w14:paraId="5BC8F9CC" w14:textId="77777777" w:rsidR="00590666" w:rsidRPr="00175784" w:rsidRDefault="00590666" w:rsidP="0068161C">
            <w:pPr>
              <w:jc w:val="center"/>
              <w:rPr>
                <w:b/>
                <w:sz w:val="24"/>
                <w:szCs w:val="24"/>
              </w:rPr>
            </w:pPr>
            <w:r w:rsidRPr="00175784">
              <w:rPr>
                <w:b/>
                <w:sz w:val="24"/>
                <w:szCs w:val="24"/>
              </w:rPr>
              <w:t>SMHS and DMC-ODS</w:t>
            </w:r>
          </w:p>
        </w:tc>
      </w:tr>
      <w:tr w:rsidR="00590666" w:rsidRPr="00AE691E" w14:paraId="2BF21371" w14:textId="77777777" w:rsidTr="00A23B62">
        <w:tc>
          <w:tcPr>
            <w:tcW w:w="14220" w:type="dxa"/>
            <w:gridSpan w:val="3"/>
          </w:tcPr>
          <w:p w14:paraId="7785C960" w14:textId="55913B6F" w:rsidR="00590666" w:rsidRDefault="00590666" w:rsidP="00590666">
            <w:pPr>
              <w:pStyle w:val="ListParagraph"/>
              <w:numPr>
                <w:ilvl w:val="0"/>
                <w:numId w:val="28"/>
              </w:numPr>
            </w:pPr>
            <w:bookmarkStart w:id="2" w:name="_Hlk104556810"/>
            <w:r>
              <w:t>If a visit is provided through telehealth (synchronous audio or video) or telephone, the health care provider is required to confirm consent for the telehealth or telephone service, in writing or verbally, at least once</w:t>
            </w:r>
            <w:r w:rsidR="00C52204">
              <w:t xml:space="preserve">, </w:t>
            </w:r>
            <w:r w:rsidR="00256800">
              <w:t xml:space="preserve">upon initiation of </w:t>
            </w:r>
            <w:r>
              <w:t xml:space="preserve">telehealth </w:t>
            </w:r>
            <w:r w:rsidR="00256800">
              <w:t>services</w:t>
            </w:r>
            <w:bookmarkEnd w:id="2"/>
            <w:r>
              <w:t xml:space="preserve">. This includes: </w:t>
            </w:r>
          </w:p>
          <w:p w14:paraId="5D4918B0" w14:textId="77777777" w:rsidR="00590666" w:rsidRDefault="00590666" w:rsidP="00590666">
            <w:pPr>
              <w:pStyle w:val="ListParagraph"/>
              <w:numPr>
                <w:ilvl w:val="1"/>
                <w:numId w:val="28"/>
              </w:numPr>
              <w:ind w:left="648"/>
            </w:pPr>
            <w:r>
              <w:lastRenderedPageBreak/>
              <w:t xml:space="preserve">An explanation that beneficiaries have the right to access covered services that may be delivered via telehealth through an inperson, face-to-face visit; </w:t>
            </w:r>
          </w:p>
          <w:p w14:paraId="1087EC87" w14:textId="77777777" w:rsidR="00590666" w:rsidRDefault="00590666" w:rsidP="00590666">
            <w:pPr>
              <w:pStyle w:val="ListParagraph"/>
              <w:numPr>
                <w:ilvl w:val="1"/>
                <w:numId w:val="28"/>
              </w:numPr>
              <w:ind w:left="648"/>
            </w:pPr>
            <w:r>
              <w:t xml:space="preserve">An explanation that use of telehealth is voluntary and that consent for the use of telehealth can be withdrawn at any time by the Medi-Cal beneficiary without affecting their ability to access covered Medi-Cal services in the future; </w:t>
            </w:r>
          </w:p>
          <w:p w14:paraId="74612594" w14:textId="77777777" w:rsidR="00590666" w:rsidRDefault="00590666" w:rsidP="00590666">
            <w:pPr>
              <w:pStyle w:val="ListParagraph"/>
              <w:numPr>
                <w:ilvl w:val="1"/>
                <w:numId w:val="28"/>
              </w:numPr>
              <w:ind w:left="648"/>
            </w:pPr>
            <w:r>
              <w:t xml:space="preserve">An explanation of the availability of Medi-Cal coverage for transportation services to in-person visits when other available resources have been reasonably exhausted; </w:t>
            </w:r>
          </w:p>
          <w:p w14:paraId="37582069" w14:textId="77777777" w:rsidR="00590666" w:rsidRDefault="00590666" w:rsidP="00590666">
            <w:pPr>
              <w:pStyle w:val="ListParagraph"/>
              <w:numPr>
                <w:ilvl w:val="1"/>
                <w:numId w:val="28"/>
              </w:numPr>
              <w:ind w:left="648"/>
            </w:pPr>
            <w:r>
              <w:t xml:space="preserve">Potential limitations or risks related to receiving services through telehealth as compared to an in-person visit, to the extent any limitations or risks are identified by the provider. </w:t>
            </w:r>
          </w:p>
          <w:p w14:paraId="5BE99B27" w14:textId="3C8E3A1C" w:rsidR="00590666" w:rsidRDefault="00590666" w:rsidP="00590666">
            <w:pPr>
              <w:pStyle w:val="ListParagraph"/>
              <w:numPr>
                <w:ilvl w:val="0"/>
                <w:numId w:val="28"/>
              </w:numPr>
            </w:pPr>
            <w:r>
              <w:t>The provider must document in the patient record the provision of this information and the patient’s verbal or written acknowledgment that the information was received.</w:t>
            </w:r>
          </w:p>
        </w:tc>
      </w:tr>
      <w:tr w:rsidR="00590666" w:rsidRPr="00175784" w14:paraId="2EADACF8" w14:textId="77777777" w:rsidTr="0068161C">
        <w:tc>
          <w:tcPr>
            <w:tcW w:w="14220" w:type="dxa"/>
            <w:gridSpan w:val="3"/>
            <w:shd w:val="clear" w:color="auto" w:fill="FFE599" w:themeFill="accent4" w:themeFillTint="66"/>
          </w:tcPr>
          <w:p w14:paraId="03FD7CE9" w14:textId="2397552B" w:rsidR="00590666" w:rsidRPr="00175784" w:rsidRDefault="00590666" w:rsidP="0068161C">
            <w:pPr>
              <w:jc w:val="center"/>
              <w:rPr>
                <w:b/>
                <w:sz w:val="28"/>
                <w:szCs w:val="28"/>
              </w:rPr>
            </w:pPr>
            <w:r>
              <w:rPr>
                <w:rFonts w:cstheme="minorHAnsi"/>
                <w:b/>
                <w:bCs/>
                <w:sz w:val="28"/>
                <w:szCs w:val="28"/>
              </w:rPr>
              <w:lastRenderedPageBreak/>
              <w:t>Compliance Requirements</w:t>
            </w:r>
          </w:p>
        </w:tc>
      </w:tr>
      <w:tr w:rsidR="00590666" w:rsidRPr="00175784" w14:paraId="52CEA307" w14:textId="77777777" w:rsidTr="0068161C">
        <w:tc>
          <w:tcPr>
            <w:tcW w:w="14220" w:type="dxa"/>
            <w:gridSpan w:val="3"/>
            <w:shd w:val="clear" w:color="auto" w:fill="C5E0B3" w:themeFill="accent6" w:themeFillTint="66"/>
          </w:tcPr>
          <w:p w14:paraId="155AADEA" w14:textId="77777777" w:rsidR="00590666" w:rsidRPr="00175784" w:rsidRDefault="00590666" w:rsidP="0068161C">
            <w:pPr>
              <w:jc w:val="center"/>
              <w:rPr>
                <w:b/>
                <w:sz w:val="24"/>
                <w:szCs w:val="24"/>
              </w:rPr>
            </w:pPr>
            <w:r w:rsidRPr="00175784">
              <w:rPr>
                <w:b/>
                <w:sz w:val="24"/>
                <w:szCs w:val="24"/>
              </w:rPr>
              <w:t>SMHS and DMC-ODS</w:t>
            </w:r>
          </w:p>
        </w:tc>
      </w:tr>
      <w:tr w:rsidR="00590666" w:rsidRPr="00AE691E" w14:paraId="29BC9A02" w14:textId="77777777" w:rsidTr="00A23B62">
        <w:tc>
          <w:tcPr>
            <w:tcW w:w="14220" w:type="dxa"/>
            <w:gridSpan w:val="3"/>
          </w:tcPr>
          <w:p w14:paraId="2A7370D6" w14:textId="562F9006" w:rsidR="00590666" w:rsidRDefault="00590666" w:rsidP="00590666">
            <w:r>
              <w:t>DHCS will continue to carry out its responsibility to monitor and oversee county SMHS, DMC, and DMC-ODS programs and their operations as required by state and Federal law. This oversight will include verifying that county and provider documentation complies with the requirements in this BHIN, that services provided to Medi-Cal beneficiaries are medically necessary, and that documentation complies with the applicable state and Federal laws, regulations, the MHP contract, DMC State Plan Contract, and the DMC-ODS Interagency Agreement/Contract.</w:t>
            </w:r>
          </w:p>
        </w:tc>
      </w:tr>
    </w:tbl>
    <w:p w14:paraId="1E7BCB59" w14:textId="77777777" w:rsidR="007F5F36" w:rsidRDefault="007F5F36"/>
    <w:sectPr w:rsidR="007F5F36" w:rsidSect="00D3408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07DF" w16cex:dateUtc="2022-01-11T21:42:00Z"/>
  <w16cex:commentExtensible w16cex:durableId="25897CBB" w16cex:dateUtc="2022-01-13T0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BE33" w14:textId="77777777" w:rsidR="00C52204" w:rsidRDefault="00C52204" w:rsidP="00832F82">
      <w:pPr>
        <w:spacing w:after="0" w:line="240" w:lineRule="auto"/>
      </w:pPr>
      <w:r>
        <w:separator/>
      </w:r>
    </w:p>
  </w:endnote>
  <w:endnote w:type="continuationSeparator" w:id="0">
    <w:p w14:paraId="7BD82572" w14:textId="77777777" w:rsidR="00C52204" w:rsidRDefault="00C52204" w:rsidP="0083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B80A" w14:textId="77777777" w:rsidR="00C52204" w:rsidRDefault="00C52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00117"/>
      <w:docPartObj>
        <w:docPartGallery w:val="Page Numbers (Bottom of Page)"/>
        <w:docPartUnique/>
      </w:docPartObj>
    </w:sdtPr>
    <w:sdtEndPr/>
    <w:sdtContent>
      <w:sdt>
        <w:sdtPr>
          <w:id w:val="-1769616900"/>
          <w:docPartObj>
            <w:docPartGallery w:val="Page Numbers (Top of Page)"/>
            <w:docPartUnique/>
          </w:docPartObj>
        </w:sdtPr>
        <w:sdtEndPr/>
        <w:sdtContent>
          <w:p w14:paraId="50DF0FE8" w14:textId="77777777" w:rsidR="00C52204" w:rsidRDefault="00C52204">
            <w:pPr>
              <w:pStyle w:val="Footer"/>
              <w:jc w:val="right"/>
              <w:rPr>
                <w:b/>
                <w:bCs/>
                <w:sz w:val="24"/>
                <w:szCs w:val="24"/>
              </w:rPr>
            </w:pPr>
            <w:r>
              <w:rPr>
                <w:noProof/>
              </w:rPr>
              <w:drawing>
                <wp:anchor distT="0" distB="0" distL="114300" distR="114300" simplePos="0" relativeHeight="251659264" behindDoc="0" locked="0" layoutInCell="1" allowOverlap="1" wp14:anchorId="0C13519F" wp14:editId="3050C010">
                  <wp:simplePos x="0" y="0"/>
                  <wp:positionH relativeFrom="margin">
                    <wp:align>left</wp:align>
                  </wp:positionH>
                  <wp:positionV relativeFrom="paragraph">
                    <wp:posOffset>-125095</wp:posOffset>
                  </wp:positionV>
                  <wp:extent cx="6032500" cy="63754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footer second page.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33856"/>
                          <a:stretch/>
                        </pic:blipFill>
                        <pic:spPr bwMode="auto">
                          <a:xfrm>
                            <a:off x="0" y="0"/>
                            <a:ext cx="6032500"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A24C7EF" w14:textId="5ABCB456" w:rsidR="00C52204" w:rsidRDefault="00C52204">
            <w:pPr>
              <w:pStyle w:val="Footer"/>
              <w:jc w:val="right"/>
            </w:pPr>
            <w:r>
              <w:rPr>
                <w:sz w:val="24"/>
                <w:szCs w:val="24"/>
              </w:rPr>
              <w:t>May</w:t>
            </w:r>
            <w:r w:rsidRPr="00DC6FF1">
              <w:rPr>
                <w:sz w:val="24"/>
                <w:szCs w:val="24"/>
              </w:rPr>
              <w:t xml:space="preserve"> 2022</w:t>
            </w:r>
          </w:p>
        </w:sdtContent>
      </w:sdt>
    </w:sdtContent>
  </w:sdt>
  <w:p w14:paraId="059B43CE" w14:textId="39843C8F" w:rsidR="00C52204" w:rsidRDefault="00C52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9735" w14:textId="77777777" w:rsidR="00C52204" w:rsidRDefault="00C5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2944" w14:textId="77777777" w:rsidR="00C52204" w:rsidRDefault="00C52204" w:rsidP="00832F82">
      <w:pPr>
        <w:spacing w:after="0" w:line="240" w:lineRule="auto"/>
      </w:pPr>
      <w:r>
        <w:separator/>
      </w:r>
    </w:p>
  </w:footnote>
  <w:footnote w:type="continuationSeparator" w:id="0">
    <w:p w14:paraId="233213B9" w14:textId="77777777" w:rsidR="00C52204" w:rsidRDefault="00C52204" w:rsidP="00832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E635" w14:textId="77777777" w:rsidR="00C52204" w:rsidRDefault="00C52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8B38" w14:textId="183740A4" w:rsidR="00C52204" w:rsidRDefault="00C52204">
    <w:pPr>
      <w:pStyle w:val="Header"/>
    </w:pPr>
    <w:r>
      <w:rPr>
        <w:noProof/>
      </w:rPr>
      <w:drawing>
        <wp:inline distT="0" distB="0" distL="0" distR="0" wp14:anchorId="3685DA72" wp14:editId="636CCA67">
          <wp:extent cx="2133324" cy="598516"/>
          <wp:effectExtent l="0" t="0" r="635" b="0"/>
          <wp:docPr id="19" name="Graphic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324" cy="598516"/>
                  </a:xfrm>
                  <a:prstGeom prst="rect">
                    <a:avLst/>
                  </a:prstGeom>
                </pic:spPr>
              </pic:pic>
            </a:graphicData>
          </a:graphic>
        </wp:inline>
      </w:drawing>
    </w:r>
  </w:p>
  <w:p w14:paraId="1AB7809D" w14:textId="77777777" w:rsidR="00C52204" w:rsidRDefault="00C52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8042" w14:textId="77777777" w:rsidR="00C52204" w:rsidRDefault="00C5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247"/>
    <w:multiLevelType w:val="hybridMultilevel"/>
    <w:tmpl w:val="CC4276A8"/>
    <w:lvl w:ilvl="0" w:tplc="32FA0610">
      <w:start w:val="8"/>
      <w:numFmt w:val="bullet"/>
      <w:lvlText w:val=""/>
      <w:lvlJc w:val="left"/>
      <w:pPr>
        <w:ind w:left="720" w:hanging="360"/>
      </w:pPr>
      <w:rPr>
        <w:rFonts w:ascii="Symbol" w:eastAsia="Arial"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4A49"/>
    <w:multiLevelType w:val="multilevel"/>
    <w:tmpl w:val="2C925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D4DA7"/>
    <w:multiLevelType w:val="hybridMultilevel"/>
    <w:tmpl w:val="69C0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37AC"/>
    <w:multiLevelType w:val="hybridMultilevel"/>
    <w:tmpl w:val="1128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3AF7"/>
    <w:multiLevelType w:val="hybridMultilevel"/>
    <w:tmpl w:val="76DC4C96"/>
    <w:lvl w:ilvl="0" w:tplc="17EACF0C">
      <w:start w:val="1"/>
      <w:numFmt w:val="decimal"/>
      <w:lvlText w:val="%1)"/>
      <w:lvlJc w:val="left"/>
      <w:pPr>
        <w:ind w:left="504" w:hanging="360"/>
      </w:pPr>
      <w:rPr>
        <w:rFonts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154C3D2A"/>
    <w:multiLevelType w:val="hybridMultilevel"/>
    <w:tmpl w:val="49941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3223B4"/>
    <w:multiLevelType w:val="hybridMultilevel"/>
    <w:tmpl w:val="DB586C98"/>
    <w:lvl w:ilvl="0" w:tplc="9510F2E2">
      <w:start w:val="1"/>
      <w:numFmt w:val="bullet"/>
      <w:lvlText w:val="o"/>
      <w:lvlJc w:val="left"/>
      <w:pPr>
        <w:ind w:left="794" w:hanging="360"/>
      </w:pPr>
      <w:rPr>
        <w:rFonts w:ascii="Courier New" w:hAnsi="Courier New" w:hint="default"/>
      </w:rPr>
    </w:lvl>
    <w:lvl w:ilvl="1" w:tplc="FFFFFFFF">
      <w:start w:val="1"/>
      <w:numFmt w:val="bullet"/>
      <w:lvlText w:val="o"/>
      <w:lvlJc w:val="left"/>
      <w:pPr>
        <w:ind w:left="1514" w:hanging="792"/>
      </w:pPr>
      <w:rPr>
        <w:rFonts w:ascii="Courier New" w:hAnsi="Courier New" w:hint="default"/>
      </w:rPr>
    </w:lvl>
    <w:lvl w:ilvl="2" w:tplc="FFFFFFFF">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7" w15:restartNumberingAfterBreak="0">
    <w:nsid w:val="22E84F11"/>
    <w:multiLevelType w:val="hybridMultilevel"/>
    <w:tmpl w:val="062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61056"/>
    <w:multiLevelType w:val="hybridMultilevel"/>
    <w:tmpl w:val="7D00F580"/>
    <w:lvl w:ilvl="0" w:tplc="7D22E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34CD1"/>
    <w:multiLevelType w:val="hybridMultilevel"/>
    <w:tmpl w:val="406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36B3C"/>
    <w:multiLevelType w:val="hybridMultilevel"/>
    <w:tmpl w:val="0F601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16410"/>
    <w:multiLevelType w:val="hybridMultilevel"/>
    <w:tmpl w:val="EE664350"/>
    <w:lvl w:ilvl="0" w:tplc="FFFFFFFF">
      <w:start w:val="1"/>
      <w:numFmt w:val="bullet"/>
      <w:lvlText w:val=""/>
      <w:lvlJc w:val="left"/>
      <w:pPr>
        <w:ind w:left="794" w:hanging="360"/>
      </w:pPr>
      <w:rPr>
        <w:rFonts w:ascii="Symbol" w:hAnsi="Symbol" w:hint="default"/>
      </w:rPr>
    </w:lvl>
    <w:lvl w:ilvl="1" w:tplc="9510F2E2">
      <w:start w:val="1"/>
      <w:numFmt w:val="bullet"/>
      <w:lvlText w:val="o"/>
      <w:lvlJc w:val="left"/>
      <w:pPr>
        <w:ind w:left="1514" w:hanging="792"/>
      </w:pPr>
      <w:rPr>
        <w:rFonts w:ascii="Courier New" w:hAnsi="Courier New" w:hint="default"/>
      </w:rPr>
    </w:lvl>
    <w:lvl w:ilvl="2" w:tplc="FFFFFFFF">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12" w15:restartNumberingAfterBreak="0">
    <w:nsid w:val="2E9678C9"/>
    <w:multiLevelType w:val="hybridMultilevel"/>
    <w:tmpl w:val="25242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E14FF"/>
    <w:multiLevelType w:val="hybridMultilevel"/>
    <w:tmpl w:val="0B2607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4C05CBA"/>
    <w:multiLevelType w:val="hybridMultilevel"/>
    <w:tmpl w:val="CD12D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C38CD"/>
    <w:multiLevelType w:val="hybridMultilevel"/>
    <w:tmpl w:val="ADD4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23D94"/>
    <w:multiLevelType w:val="hybridMultilevel"/>
    <w:tmpl w:val="2CEA60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2651"/>
    <w:multiLevelType w:val="hybridMultilevel"/>
    <w:tmpl w:val="7966D4B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8" w15:restartNumberingAfterBreak="0">
    <w:nsid w:val="4C0522D7"/>
    <w:multiLevelType w:val="hybridMultilevel"/>
    <w:tmpl w:val="896E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22080"/>
    <w:multiLevelType w:val="hybridMultilevel"/>
    <w:tmpl w:val="1D9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32E40"/>
    <w:multiLevelType w:val="hybridMultilevel"/>
    <w:tmpl w:val="922AC6A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039CE"/>
    <w:multiLevelType w:val="hybridMultilevel"/>
    <w:tmpl w:val="D736BC16"/>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2" w15:restartNumberingAfterBreak="0">
    <w:nsid w:val="60915F8A"/>
    <w:multiLevelType w:val="hybridMultilevel"/>
    <w:tmpl w:val="DB3AC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091179"/>
    <w:multiLevelType w:val="hybridMultilevel"/>
    <w:tmpl w:val="9B94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63ACF"/>
    <w:multiLevelType w:val="hybridMultilevel"/>
    <w:tmpl w:val="F9BAD7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268CA"/>
    <w:multiLevelType w:val="hybridMultilevel"/>
    <w:tmpl w:val="D0F0FD5A"/>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6" w15:restartNumberingAfterBreak="0">
    <w:nsid w:val="71E80F59"/>
    <w:multiLevelType w:val="hybridMultilevel"/>
    <w:tmpl w:val="1416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E6173F"/>
    <w:multiLevelType w:val="hybridMultilevel"/>
    <w:tmpl w:val="BEFA0B78"/>
    <w:lvl w:ilvl="0" w:tplc="D4F40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8"/>
  </w:num>
  <w:num w:numId="3">
    <w:abstractNumId w:val="10"/>
  </w:num>
  <w:num w:numId="4">
    <w:abstractNumId w:val="27"/>
  </w:num>
  <w:num w:numId="5">
    <w:abstractNumId w:val="24"/>
  </w:num>
  <w:num w:numId="6">
    <w:abstractNumId w:val="20"/>
  </w:num>
  <w:num w:numId="7">
    <w:abstractNumId w:val="4"/>
  </w:num>
  <w:num w:numId="8">
    <w:abstractNumId w:val="25"/>
  </w:num>
  <w:num w:numId="9">
    <w:abstractNumId w:val="11"/>
  </w:num>
  <w:num w:numId="10">
    <w:abstractNumId w:val="6"/>
  </w:num>
  <w:num w:numId="11">
    <w:abstractNumId w:val="15"/>
  </w:num>
  <w:num w:numId="12">
    <w:abstractNumId w:val="19"/>
  </w:num>
  <w:num w:numId="13">
    <w:abstractNumId w:val="23"/>
  </w:num>
  <w:num w:numId="14">
    <w:abstractNumId w:val="1"/>
  </w:num>
  <w:num w:numId="15">
    <w:abstractNumId w:val="0"/>
  </w:num>
  <w:num w:numId="16">
    <w:abstractNumId w:val="7"/>
  </w:num>
  <w:num w:numId="17">
    <w:abstractNumId w:val="12"/>
  </w:num>
  <w:num w:numId="18">
    <w:abstractNumId w:val="18"/>
  </w:num>
  <w:num w:numId="19">
    <w:abstractNumId w:val="13"/>
  </w:num>
  <w:num w:numId="20">
    <w:abstractNumId w:val="16"/>
  </w:num>
  <w:num w:numId="21">
    <w:abstractNumId w:val="9"/>
  </w:num>
  <w:num w:numId="22">
    <w:abstractNumId w:val="21"/>
  </w:num>
  <w:num w:numId="23">
    <w:abstractNumId w:val="3"/>
  </w:num>
  <w:num w:numId="24">
    <w:abstractNumId w:val="2"/>
  </w:num>
  <w:num w:numId="25">
    <w:abstractNumId w:val="22"/>
  </w:num>
  <w:num w:numId="26">
    <w:abstractNumId w:val="14"/>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EF"/>
    <w:rsid w:val="00041355"/>
    <w:rsid w:val="00053B49"/>
    <w:rsid w:val="00070764"/>
    <w:rsid w:val="000B4416"/>
    <w:rsid w:val="000B6DA3"/>
    <w:rsid w:val="000C7362"/>
    <w:rsid w:val="000E4D18"/>
    <w:rsid w:val="000F7987"/>
    <w:rsid w:val="00101BD7"/>
    <w:rsid w:val="00123F01"/>
    <w:rsid w:val="00145325"/>
    <w:rsid w:val="00162860"/>
    <w:rsid w:val="001705E1"/>
    <w:rsid w:val="001740E9"/>
    <w:rsid w:val="00175784"/>
    <w:rsid w:val="001818C7"/>
    <w:rsid w:val="001B1177"/>
    <w:rsid w:val="001C14A6"/>
    <w:rsid w:val="001C309F"/>
    <w:rsid w:val="001E0C9D"/>
    <w:rsid w:val="002430BE"/>
    <w:rsid w:val="00246D74"/>
    <w:rsid w:val="00256800"/>
    <w:rsid w:val="00271856"/>
    <w:rsid w:val="002A6232"/>
    <w:rsid w:val="002B012C"/>
    <w:rsid w:val="002D0438"/>
    <w:rsid w:val="002E23C7"/>
    <w:rsid w:val="002F69A4"/>
    <w:rsid w:val="002F7F90"/>
    <w:rsid w:val="00303E51"/>
    <w:rsid w:val="00317916"/>
    <w:rsid w:val="003336BE"/>
    <w:rsid w:val="003446BD"/>
    <w:rsid w:val="00357532"/>
    <w:rsid w:val="003650D8"/>
    <w:rsid w:val="00367474"/>
    <w:rsid w:val="00376EAE"/>
    <w:rsid w:val="00381A82"/>
    <w:rsid w:val="00383BA6"/>
    <w:rsid w:val="00397F37"/>
    <w:rsid w:val="003A110D"/>
    <w:rsid w:val="003B63A5"/>
    <w:rsid w:val="003B6671"/>
    <w:rsid w:val="003D5BBD"/>
    <w:rsid w:val="003E48CC"/>
    <w:rsid w:val="00404D1A"/>
    <w:rsid w:val="0041114F"/>
    <w:rsid w:val="00434503"/>
    <w:rsid w:val="00451E7B"/>
    <w:rsid w:val="004D1C50"/>
    <w:rsid w:val="004E50F4"/>
    <w:rsid w:val="004F4AAD"/>
    <w:rsid w:val="0050058F"/>
    <w:rsid w:val="00525E22"/>
    <w:rsid w:val="005746F2"/>
    <w:rsid w:val="0058408C"/>
    <w:rsid w:val="00590666"/>
    <w:rsid w:val="005A204C"/>
    <w:rsid w:val="005C23D9"/>
    <w:rsid w:val="005D7293"/>
    <w:rsid w:val="00602E6C"/>
    <w:rsid w:val="0061752F"/>
    <w:rsid w:val="006270EF"/>
    <w:rsid w:val="00634202"/>
    <w:rsid w:val="0064241E"/>
    <w:rsid w:val="00655F43"/>
    <w:rsid w:val="00657A9E"/>
    <w:rsid w:val="00680869"/>
    <w:rsid w:val="0068161C"/>
    <w:rsid w:val="00695F34"/>
    <w:rsid w:val="006F6F49"/>
    <w:rsid w:val="007132EA"/>
    <w:rsid w:val="00724628"/>
    <w:rsid w:val="00770A43"/>
    <w:rsid w:val="007B0304"/>
    <w:rsid w:val="007B09F9"/>
    <w:rsid w:val="007B3D28"/>
    <w:rsid w:val="007E311E"/>
    <w:rsid w:val="007F5F36"/>
    <w:rsid w:val="00832F82"/>
    <w:rsid w:val="008401B9"/>
    <w:rsid w:val="00844403"/>
    <w:rsid w:val="008549E1"/>
    <w:rsid w:val="00860E14"/>
    <w:rsid w:val="008D6138"/>
    <w:rsid w:val="008E5ED6"/>
    <w:rsid w:val="00926C55"/>
    <w:rsid w:val="00936495"/>
    <w:rsid w:val="00953562"/>
    <w:rsid w:val="009612F7"/>
    <w:rsid w:val="0099721B"/>
    <w:rsid w:val="009B1080"/>
    <w:rsid w:val="009D1D1D"/>
    <w:rsid w:val="009E13E7"/>
    <w:rsid w:val="00A007BC"/>
    <w:rsid w:val="00A2219A"/>
    <w:rsid w:val="00A23B62"/>
    <w:rsid w:val="00A310EF"/>
    <w:rsid w:val="00A37914"/>
    <w:rsid w:val="00A41114"/>
    <w:rsid w:val="00A5245F"/>
    <w:rsid w:val="00A66DB2"/>
    <w:rsid w:val="00A722B0"/>
    <w:rsid w:val="00A93765"/>
    <w:rsid w:val="00AD1C3F"/>
    <w:rsid w:val="00AD1D39"/>
    <w:rsid w:val="00AE2E87"/>
    <w:rsid w:val="00AE3F0B"/>
    <w:rsid w:val="00AE691E"/>
    <w:rsid w:val="00AE78DF"/>
    <w:rsid w:val="00B0637E"/>
    <w:rsid w:val="00B51585"/>
    <w:rsid w:val="00B55D0F"/>
    <w:rsid w:val="00B74908"/>
    <w:rsid w:val="00BA7B2E"/>
    <w:rsid w:val="00BB58CB"/>
    <w:rsid w:val="00BC1638"/>
    <w:rsid w:val="00BD503A"/>
    <w:rsid w:val="00BE6715"/>
    <w:rsid w:val="00BF1B3F"/>
    <w:rsid w:val="00C44DF5"/>
    <w:rsid w:val="00C45236"/>
    <w:rsid w:val="00C52204"/>
    <w:rsid w:val="00C54AC5"/>
    <w:rsid w:val="00C81B02"/>
    <w:rsid w:val="00CF71A2"/>
    <w:rsid w:val="00D006B6"/>
    <w:rsid w:val="00D0128D"/>
    <w:rsid w:val="00D20BE4"/>
    <w:rsid w:val="00D34087"/>
    <w:rsid w:val="00D50BD8"/>
    <w:rsid w:val="00D66B63"/>
    <w:rsid w:val="00D901F8"/>
    <w:rsid w:val="00D97F67"/>
    <w:rsid w:val="00DC186C"/>
    <w:rsid w:val="00DC6FF1"/>
    <w:rsid w:val="00DD7FF4"/>
    <w:rsid w:val="00DE51D8"/>
    <w:rsid w:val="00DE633C"/>
    <w:rsid w:val="00DE6F6F"/>
    <w:rsid w:val="00E13349"/>
    <w:rsid w:val="00E14515"/>
    <w:rsid w:val="00E2657E"/>
    <w:rsid w:val="00E34C0B"/>
    <w:rsid w:val="00E610D1"/>
    <w:rsid w:val="00E7323E"/>
    <w:rsid w:val="00E74C48"/>
    <w:rsid w:val="00E74F27"/>
    <w:rsid w:val="00E9676C"/>
    <w:rsid w:val="00EA358A"/>
    <w:rsid w:val="00EA4ECC"/>
    <w:rsid w:val="00EF3C29"/>
    <w:rsid w:val="00F053A9"/>
    <w:rsid w:val="00F5302D"/>
    <w:rsid w:val="00F55301"/>
    <w:rsid w:val="00FA4412"/>
    <w:rsid w:val="00FA6012"/>
    <w:rsid w:val="00FB23E5"/>
    <w:rsid w:val="00FB70BA"/>
    <w:rsid w:val="00FC78D2"/>
    <w:rsid w:val="00FF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5CBB"/>
  <w15:chartTrackingRefBased/>
  <w15:docId w15:val="{D24574B6-CE46-4C90-8530-54CE6E5D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7323E"/>
    <w:pPr>
      <w:widowControl w:val="0"/>
      <w:autoSpaceDE w:val="0"/>
      <w:autoSpaceDN w:val="0"/>
      <w:spacing w:after="0" w:line="240" w:lineRule="auto"/>
      <w:ind w:left="7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818C7"/>
    <w:pPr>
      <w:ind w:left="720"/>
      <w:contextualSpacing/>
    </w:pPr>
  </w:style>
  <w:style w:type="character" w:styleId="Hyperlink">
    <w:name w:val="Hyperlink"/>
    <w:basedOn w:val="DefaultParagraphFont"/>
    <w:uiPriority w:val="99"/>
    <w:unhideWhenUsed/>
    <w:rsid w:val="00FC78D2"/>
    <w:rPr>
      <w:color w:val="0563C1" w:themeColor="hyperlink"/>
      <w:u w:val="single"/>
    </w:rPr>
  </w:style>
  <w:style w:type="character" w:styleId="UnresolvedMention">
    <w:name w:val="Unresolved Mention"/>
    <w:basedOn w:val="DefaultParagraphFont"/>
    <w:uiPriority w:val="99"/>
    <w:semiHidden/>
    <w:unhideWhenUsed/>
    <w:rsid w:val="00FC78D2"/>
    <w:rPr>
      <w:color w:val="605E5C"/>
      <w:shd w:val="clear" w:color="auto" w:fill="E1DFDD"/>
    </w:rPr>
  </w:style>
  <w:style w:type="character" w:styleId="FollowedHyperlink">
    <w:name w:val="FollowedHyperlink"/>
    <w:basedOn w:val="DefaultParagraphFont"/>
    <w:uiPriority w:val="99"/>
    <w:semiHidden/>
    <w:unhideWhenUsed/>
    <w:rsid w:val="00434503"/>
    <w:rPr>
      <w:color w:val="954F72" w:themeColor="followedHyperlink"/>
      <w:u w:val="single"/>
    </w:rPr>
  </w:style>
  <w:style w:type="character" w:styleId="CommentReference">
    <w:name w:val="annotation reference"/>
    <w:basedOn w:val="DefaultParagraphFont"/>
    <w:uiPriority w:val="99"/>
    <w:semiHidden/>
    <w:unhideWhenUsed/>
    <w:rsid w:val="00434503"/>
    <w:rPr>
      <w:sz w:val="16"/>
      <w:szCs w:val="16"/>
    </w:rPr>
  </w:style>
  <w:style w:type="paragraph" w:styleId="CommentText">
    <w:name w:val="annotation text"/>
    <w:basedOn w:val="Normal"/>
    <w:link w:val="CommentTextChar"/>
    <w:uiPriority w:val="99"/>
    <w:semiHidden/>
    <w:unhideWhenUsed/>
    <w:rsid w:val="00434503"/>
    <w:pPr>
      <w:spacing w:line="240" w:lineRule="auto"/>
    </w:pPr>
    <w:rPr>
      <w:sz w:val="20"/>
      <w:szCs w:val="20"/>
    </w:rPr>
  </w:style>
  <w:style w:type="character" w:customStyle="1" w:styleId="CommentTextChar">
    <w:name w:val="Comment Text Char"/>
    <w:basedOn w:val="DefaultParagraphFont"/>
    <w:link w:val="CommentText"/>
    <w:uiPriority w:val="99"/>
    <w:semiHidden/>
    <w:rsid w:val="00434503"/>
    <w:rPr>
      <w:sz w:val="20"/>
      <w:szCs w:val="20"/>
    </w:rPr>
  </w:style>
  <w:style w:type="paragraph" w:styleId="CommentSubject">
    <w:name w:val="annotation subject"/>
    <w:basedOn w:val="CommentText"/>
    <w:next w:val="CommentText"/>
    <w:link w:val="CommentSubjectChar"/>
    <w:uiPriority w:val="99"/>
    <w:semiHidden/>
    <w:unhideWhenUsed/>
    <w:rsid w:val="00434503"/>
    <w:rPr>
      <w:b/>
      <w:bCs/>
    </w:rPr>
  </w:style>
  <w:style w:type="character" w:customStyle="1" w:styleId="CommentSubjectChar">
    <w:name w:val="Comment Subject Char"/>
    <w:basedOn w:val="CommentTextChar"/>
    <w:link w:val="CommentSubject"/>
    <w:uiPriority w:val="99"/>
    <w:semiHidden/>
    <w:rsid w:val="00434503"/>
    <w:rPr>
      <w:b/>
      <w:bCs/>
      <w:sz w:val="20"/>
      <w:szCs w:val="20"/>
    </w:rPr>
  </w:style>
  <w:style w:type="paragraph" w:styleId="Header">
    <w:name w:val="header"/>
    <w:basedOn w:val="Normal"/>
    <w:link w:val="HeaderChar"/>
    <w:uiPriority w:val="99"/>
    <w:unhideWhenUsed/>
    <w:rsid w:val="0083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82"/>
  </w:style>
  <w:style w:type="paragraph" w:styleId="Footer">
    <w:name w:val="footer"/>
    <w:basedOn w:val="Normal"/>
    <w:link w:val="FooterChar"/>
    <w:uiPriority w:val="99"/>
    <w:unhideWhenUsed/>
    <w:rsid w:val="0083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82"/>
  </w:style>
  <w:style w:type="paragraph" w:styleId="BalloonText">
    <w:name w:val="Balloon Text"/>
    <w:basedOn w:val="Normal"/>
    <w:link w:val="BalloonTextChar"/>
    <w:uiPriority w:val="99"/>
    <w:semiHidden/>
    <w:unhideWhenUsed/>
    <w:rsid w:val="003B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A5"/>
    <w:rPr>
      <w:rFonts w:ascii="Segoe UI" w:hAnsi="Segoe UI" w:cs="Segoe UI"/>
      <w:sz w:val="18"/>
      <w:szCs w:val="18"/>
    </w:rPr>
  </w:style>
  <w:style w:type="paragraph" w:styleId="BodyText">
    <w:name w:val="Body Text"/>
    <w:basedOn w:val="Normal"/>
    <w:link w:val="BodyTextChar"/>
    <w:uiPriority w:val="1"/>
    <w:qFormat/>
    <w:rsid w:val="00AE2E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E2E87"/>
    <w:rPr>
      <w:rFonts w:ascii="Arial" w:eastAsia="Arial" w:hAnsi="Arial" w:cs="Arial"/>
      <w:sz w:val="24"/>
      <w:szCs w:val="24"/>
    </w:rPr>
  </w:style>
  <w:style w:type="character" w:customStyle="1" w:styleId="Heading2Char">
    <w:name w:val="Heading 2 Char"/>
    <w:basedOn w:val="DefaultParagraphFont"/>
    <w:link w:val="Heading2"/>
    <w:uiPriority w:val="9"/>
    <w:rsid w:val="00E7323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16651">
      <w:bodyDiv w:val="1"/>
      <w:marLeft w:val="0"/>
      <w:marRight w:val="0"/>
      <w:marTop w:val="0"/>
      <w:marBottom w:val="0"/>
      <w:divBdr>
        <w:top w:val="none" w:sz="0" w:space="0" w:color="auto"/>
        <w:left w:val="none" w:sz="0" w:space="0" w:color="auto"/>
        <w:bottom w:val="none" w:sz="0" w:space="0" w:color="auto"/>
        <w:right w:val="none" w:sz="0" w:space="0" w:color="auto"/>
      </w:divBdr>
      <w:divsChild>
        <w:div w:id="26615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dhcs.ca.gov/Documents/BHIN-22-019-Documentation-Requirements-for-all-SMHS-DMC-and-DMC-ODS-Servic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Rejali, Torfeh, ACBH</dc:creator>
  <cp:keywords/>
  <dc:description/>
  <cp:lastModifiedBy>Rejali, Torfeh, ACBH</cp:lastModifiedBy>
  <cp:revision>21</cp:revision>
  <dcterms:created xsi:type="dcterms:W3CDTF">2022-04-25T21:57:00Z</dcterms:created>
  <dcterms:modified xsi:type="dcterms:W3CDTF">2022-05-27T22:51:00Z</dcterms:modified>
</cp:coreProperties>
</file>